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</w:rPr>
      </w:pPr>
      <w:bookmarkStart w:id="0" w:name="_GoBack"/>
      <w:bookmarkEnd w:id="0"/>
    </w:p>
    <w:p>
      <w:pPr>
        <w:spacing w:line="360" w:lineRule="auto"/>
        <w:jc w:val="center"/>
      </w:pP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widowControl w:val="0"/>
        <w:spacing w:line="36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贵州省民政厅2021年世界银行和法国开发署</w:t>
      </w:r>
    </w:p>
    <w:p>
      <w:pPr>
        <w:widowControl w:val="0"/>
        <w:spacing w:line="36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联合融资贷款贵州省养老服务体系建设项目</w:t>
      </w:r>
    </w:p>
    <w:p>
      <w:pPr>
        <w:widowControl w:val="0"/>
        <w:spacing w:line="360" w:lineRule="auto"/>
        <w:jc w:val="center"/>
        <w:rPr>
          <w:rFonts w:hint="eastAsia" w:ascii="Times New Roman" w:hAnsi="Times New Roman" w:cs="Times New Roman"/>
          <w:kern w:val="2"/>
        </w:rPr>
      </w:pPr>
    </w:p>
    <w:p>
      <w:pPr>
        <w:widowControl w:val="0"/>
        <w:spacing w:line="360" w:lineRule="auto"/>
        <w:jc w:val="center"/>
        <w:rPr>
          <w:rFonts w:hint="eastAsia" w:ascii="Times New Roman" w:hAnsi="Times New Roman" w:cs="Times New Roman"/>
          <w:kern w:val="2"/>
        </w:rPr>
      </w:pPr>
    </w:p>
    <w:p>
      <w:pPr>
        <w:widowControl w:val="0"/>
        <w:spacing w:line="360" w:lineRule="auto"/>
        <w:jc w:val="center"/>
        <w:rPr>
          <w:rFonts w:hint="eastAsia" w:ascii="Times New Roman" w:hAnsi="Times New Roman" w:cs="Times New Roman"/>
          <w:kern w:val="2"/>
        </w:rPr>
      </w:pPr>
    </w:p>
    <w:p>
      <w:pPr>
        <w:widowControl w:val="0"/>
        <w:spacing w:line="360" w:lineRule="auto"/>
        <w:jc w:val="center"/>
        <w:rPr>
          <w:rFonts w:ascii="Times New Roman" w:hAnsi="Times New Roman" w:cs="Times New Roman"/>
          <w:kern w:val="2"/>
        </w:rPr>
      </w:pPr>
    </w:p>
    <w:p>
      <w:pPr>
        <w:widowControl w:val="0"/>
        <w:spacing w:line="360" w:lineRule="auto"/>
        <w:jc w:val="center"/>
        <w:rPr>
          <w:rFonts w:hint="eastAsia" w:ascii="Times New Roman" w:hAnsi="Times New Roman" w:cs="Times New Roman"/>
          <w:kern w:val="2"/>
        </w:rPr>
      </w:pPr>
    </w:p>
    <w:p>
      <w:pPr>
        <w:widowControl w:val="0"/>
        <w:jc w:val="center"/>
        <w:rPr>
          <w:rFonts w:ascii="方正小标宋简体" w:hAnsi="黑体" w:eastAsia="方正小标宋简体"/>
          <w:sz w:val="72"/>
          <w:szCs w:val="72"/>
        </w:rPr>
      </w:pPr>
      <w:r>
        <w:rPr>
          <w:rFonts w:hint="eastAsia" w:ascii="方正小标宋简体" w:hAnsi="黑体" w:eastAsia="方正小标宋简体"/>
          <w:sz w:val="72"/>
          <w:szCs w:val="72"/>
        </w:rPr>
        <w:t>绩效评价报告</w:t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tabs>
          <w:tab w:val="left" w:pos="5851"/>
        </w:tabs>
        <w:spacing w:line="360" w:lineRule="auto"/>
        <w:rPr>
          <w:rFonts w:hint="eastAsia"/>
        </w:rPr>
      </w:pPr>
      <w:r>
        <w:rPr>
          <w:rFonts w:hint="eastAsia"/>
        </w:rPr>
        <w:tab/>
      </w:r>
    </w:p>
    <w:p>
      <w:pPr>
        <w:widowControl w:val="0"/>
        <w:spacing w:line="400" w:lineRule="exact"/>
        <w:ind w:firstLine="1320" w:firstLineChars="5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报告编号：QCJ-PJ-2021-13</w:t>
      </w:r>
    </w:p>
    <w:p>
      <w:pPr>
        <w:widowControl w:val="0"/>
        <w:spacing w:line="400" w:lineRule="exact"/>
        <w:ind w:firstLine="1320" w:firstLineChars="5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委托单位：贵州省财政厅</w:t>
      </w:r>
    </w:p>
    <w:p>
      <w:pPr>
        <w:widowControl w:val="0"/>
        <w:spacing w:line="400" w:lineRule="exact"/>
        <w:ind w:firstLine="1320" w:firstLineChars="5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评价机构：贵州臻信融和会计师事务所有限公司</w:t>
      </w:r>
    </w:p>
    <w:p>
      <w:pPr>
        <w:widowControl w:val="0"/>
        <w:spacing w:line="400" w:lineRule="exact"/>
        <w:ind w:firstLine="1320" w:firstLineChars="5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报告时间：202</w:t>
      </w: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</w:rPr>
        <w:t>年8月6日</w:t>
      </w:r>
    </w:p>
    <w:p>
      <w:pPr>
        <w:rPr>
          <w:rFonts w:hAnsi="黑体" w:eastAsia="黑体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984" w:right="1474" w:bottom="1871" w:left="1474" w:header="851" w:footer="992" w:gutter="0"/>
          <w:pgNumType w:start="1"/>
          <w:cols w:space="720" w:num="1"/>
          <w:titlePg/>
          <w:docGrid w:type="lines" w:linePitch="326" w:charSpace="0"/>
        </w:sectPr>
      </w:pPr>
    </w:p>
    <w:tbl>
      <w:tblPr>
        <w:tblStyle w:val="5"/>
        <w:tblpPr w:leftFromText="180" w:rightFromText="180" w:vertAnchor="text" w:horzAnchor="margin" w:tblpY="-77"/>
        <w:tblOverlap w:val="never"/>
        <w:tblW w:w="8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990"/>
        <w:gridCol w:w="426"/>
        <w:gridCol w:w="706"/>
        <w:gridCol w:w="853"/>
        <w:gridCol w:w="846"/>
        <w:gridCol w:w="1279"/>
        <w:gridCol w:w="1335"/>
        <w:gridCol w:w="12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548" w:hRule="atLeast"/>
        </w:trPr>
        <w:tc>
          <w:tcPr>
            <w:tcW w:w="8980" w:type="dxa"/>
            <w:gridSpan w:val="9"/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评价分值：86.1</w:t>
            </w:r>
            <w:r>
              <w:rPr>
                <w:rFonts w:hint="eastAsia" w:ascii="Times New Roman" w:hAnsi="Times New Roman" w:eastAsia="黑体" w:cs="Times New Roman"/>
                <w:color w:val="000000"/>
              </w:rPr>
              <w:t>7</w:t>
            </w:r>
            <w:r>
              <w:rPr>
                <w:rStyle w:val="8"/>
                <w:rFonts w:hint="default"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color w:val="000000"/>
              </w:rPr>
              <w:t>评价等级：</w:t>
            </w:r>
            <w:r>
              <w:rPr>
                <w:rFonts w:hint="eastAsia" w:ascii="Times New Roman" w:hAnsi="Times New Roman" w:eastAsia="黑体" w:cs="Times New Roman"/>
                <w:color w:val="000000"/>
              </w:rPr>
              <w:t>良</w:t>
            </w:r>
            <w:r>
              <w:rPr>
                <w:rFonts w:ascii="Times New Roman" w:hAnsi="Times New Roman" w:eastAsia="黑体" w:cs="Times New Roman"/>
                <w:color w:val="00000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999" w:hRule="atLeast"/>
        </w:trPr>
        <w:tc>
          <w:tcPr>
            <w:tcW w:w="8980" w:type="dxa"/>
            <w:gridSpan w:val="9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36"/>
                <w:szCs w:val="36"/>
              </w:rPr>
              <w:t>概   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553" w:hRule="atLeast"/>
        </w:trPr>
        <w:tc>
          <w:tcPr>
            <w:tcW w:w="8980" w:type="dxa"/>
            <w:gridSpan w:val="9"/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2"/>
              </w:rPr>
              <w:t>评价机构全称（盖章）：贵州臻信融和会计师事务所有限公司         单位：万元、类、个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1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世界银行和法国开发署联合融资贷款贵州省养老服务体系建设项目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评价年度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6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财政主管处室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省财政厅外经处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联系人及联系方式</w:t>
            </w: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傅婷 13511963341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1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贵州省民政厅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联系人及联系方式</w:t>
            </w: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曾琼琼 13985120427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213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自评方式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自评分值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自评等级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1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各级资金</w:t>
            </w:r>
          </w:p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投入总数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6,278.84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抽查资金总数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6,278.84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资金抽查占比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1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省级财政资金</w:t>
            </w:r>
          </w:p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拨付数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省级财政资金</w:t>
            </w:r>
          </w:p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抽查数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省级财政资金</w:t>
            </w:r>
          </w:p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抽查占比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1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抽查类别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类别抽查占比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1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项目数量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抽查项目数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项目抽查占比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543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涉及市县数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或项目点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抽查市县数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或项目点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抽查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区域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都匀市、福泉市、贵定县、龙里县、惠水县、长顺县、贵阳市花溪区、南明区、开阳县、修文县、息烽县、遵义市红花岗区、汇川区、播州区、正安县、务川县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1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发放调查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问卷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有效调查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问卷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受益群众满意度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93.85%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674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绩效目标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实现情况</w:t>
            </w:r>
          </w:p>
        </w:tc>
        <w:tc>
          <w:tcPr>
            <w:tcW w:w="76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（1）制定完成世行项目《需求评估工具及评估体系》等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11项任务大纲的综合完成率为74.00%；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（2）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开展完成全省养老机构设施大调查1次；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（3）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开展了不少于10个“2020年贵州省基本养老服务标准化试点项目”；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（4）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获得基本养老服务的老年人数量大于等于3,306人，实际完成1,284人，完成率为38.84%；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（5）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除2020年受疫情影响进度缓慢外，养老服务体系建设项目在资金和项目实施方面具有高度可持续性。</w:t>
            </w:r>
          </w:p>
        </w:tc>
      </w:tr>
    </w:tbl>
    <w:p>
      <w:pPr>
        <w:spacing w:line="320" w:lineRule="exact"/>
        <w:jc w:val="center"/>
        <w:textAlignment w:val="center"/>
        <w:rPr>
          <w:rFonts w:ascii="Times New Roman" w:hAnsi="Times New Roman" w:eastAsia="黑体" w:cs="Times New Roman"/>
          <w:color w:val="000000"/>
          <w:sz w:val="20"/>
          <w:szCs w:val="20"/>
        </w:rPr>
        <w:sectPr>
          <w:footerReference r:id="rId10" w:type="first"/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984" w:right="1474" w:bottom="1871" w:left="1474" w:header="851" w:footer="992" w:gutter="0"/>
          <w:pgNumType w:start="1" w:chapSep="enDash"/>
          <w:cols w:space="720" w:num="1"/>
          <w:docGrid w:type="lines" w:linePitch="326" w:charSpace="0"/>
        </w:sectPr>
      </w:pPr>
    </w:p>
    <w:tbl>
      <w:tblPr>
        <w:tblStyle w:val="5"/>
        <w:tblpPr w:leftFromText="180" w:rightFromText="180" w:vertAnchor="text" w:horzAnchor="margin" w:tblpY="1"/>
        <w:tblOverlap w:val="never"/>
        <w:tblW w:w="8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954"/>
        <w:gridCol w:w="2245"/>
        <w:gridCol w:w="2245"/>
        <w:gridCol w:w="22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1901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评价问题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简要情况</w:t>
            </w:r>
          </w:p>
        </w:tc>
        <w:tc>
          <w:tcPr>
            <w:tcW w:w="7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（1）管理制度方面，项目前期工作受疫情等因素影响推进进度缓慢。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（2）资金管理方面，一是项目提款报账进度缓慢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；二是计划提款报账资金执行率较低，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已提取项目贷款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资金执行率为37.57%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。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（3）项目管理方面，一是项目完成情况吻合度不高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；二是项目开工时间与项目实施周期吻合度不高；三是各县（区）养老服务方面的基础设施较为薄弱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，养老服务工作的开展效果并不理想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；四是部分受益群众的满意度相对较低。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（4）绩效管理方面，一是绩效评价指标设计不健全；二是绩效评价指标的目标值设置过低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；三是绩效评价指标目标值设置不利于绩效评价工作的开展；四是绩效评价指标设置不够规范，将目标值填入绩效评价指标。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2344" w:hRule="atLeast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评价问题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简要建议</w:t>
            </w:r>
          </w:p>
        </w:tc>
        <w:tc>
          <w:tcPr>
            <w:tcW w:w="769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（1）管理制度方面，一是加大项目制度执行的监督检查力度；二是要求各县（区）民政部门以及项目实施单位定期对项目制度执行情况进行自查，并对未执行到位的地方及时进行整改。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2）资金管理方面，一是加快推进因疫情影响而严重滞后的相关工作，保证按期提取使用贷款资金；二是督促供应商保质按期完成合同标的，及时支付合同款项；三是加大已提取项目资金的使用力度，督促各县（区）项目实施单位加快推进项目实施进度。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（3）项目管理方面，一是应督促各项目业主和实施单位及时调整建设计划；二是聘请专家对项目如何开展进行培训和指导，进而提升对该项目的熟悉程度；三是加大对该项目的宣传力度。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（4）绩效管理方面，一是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开发适合于本项目的绩效评价指标体系；二是进一步强化预算绩效管理的业务指导与培训工作，培训的内容应涵盖绩效目标申报、执行监控、绩效评价和结果应用以及内部控制制度等方面。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1350" w:hRule="atLeast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评价结果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应用建议</w:t>
            </w:r>
          </w:p>
        </w:tc>
        <w:tc>
          <w:tcPr>
            <w:tcW w:w="769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（1）加大项目制度执行的监督检查力度，督促各县（区）项目实施单位严格执行项目制度；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（2）省民政厅和各项目实施单位应加大对该项目的宣传力度，提升该项目的了解程度以及部分县（区）的满意程度；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（3）加快推进因疫情影响而严重滞后的相关工作，保证按期提取使用贷款资金，督促供应商保质按期完成合同标的，及时支付合同款项；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（4）结合《财政部关于印发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&lt;项目支出绩效评价管理办法&gt;的通知》（财预〔2020〕10号）、《国际金融组织和外国政府贷款赠款项目绩效评价管理办法》（财国合〔2019〕18号）开发适合于本项目的绩效评价指标体系；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（5）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加强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bidi="ar"/>
              </w:rPr>
              <w:t>对省民政厅和各项目实施单位的培训工作，培训内容涵盖世行报账规则、世行项目规则以及预算绩效管理。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1" w:hRule="atLeast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评价时间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2021年6月25日—2021年7月30日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评价机构报告编号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QCJ-PJ-2021-13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trHeight w:val="31" w:hRule="atLeast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项目主评人（签字）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及联系方式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谢盛勇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18984554520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法定代表人（签字）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及联系方式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王勇</w:t>
            </w:r>
          </w:p>
          <w:p>
            <w:pPr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13984322280</w:t>
            </w:r>
          </w:p>
        </w:tc>
      </w:tr>
    </w:tbl>
    <w:p>
      <w:r>
        <w:rPr>
          <w:rFonts w:hint="eastAsia" w:ascii="Times New Roman" w:hAnsi="黑体" w:eastAsia="黑体"/>
        </w:rPr>
        <w:t xml:space="preserve">     </w:t>
      </w:r>
    </w:p>
    <w:sectPr>
      <w:footerReference r:id="rId11" w:type="default"/>
      <w:footerReference r:id="rId12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4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640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0NWr8kBAACa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m+&#10;zvr0AWpMewiYmIY7P+TcyQ/ozLQHFW3+IiGCcVT3fFVXDomI/Gi9Wq8rDAmMzRfEYY/PQ4T0VnpL&#10;stHQiOMrqvLTe0hj6pySqzl/r41BP6+N+8uBmNnDcu9jj9lKw36YGt/79ox8epx8Qx0uOiXmnUNh&#10;85LMRpyN/WwcQ9SHrmxRrgfh9piwidJbrjDCToVxZIXdtF55J/68l6zHX2r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vQ1av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640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II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uFoB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IoSxy0O/PL92+XHr8vPr2R5&#10;k/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W4WgG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II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40"/>
      <w:jc w:val="both"/>
      <w:rPr>
        <w:rFonts w:hint="eastAsia"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II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40"/>
      <w:jc w:val="both"/>
      <w:rPr>
        <w:rFonts w:hint="eastAsia" w:ascii="宋体" w:hAnsi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F3"/>
    <w:rsid w:val="00080949"/>
    <w:rsid w:val="00180308"/>
    <w:rsid w:val="003B0462"/>
    <w:rsid w:val="00476EAA"/>
    <w:rsid w:val="00726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1"/>
    <w:link w:val="4"/>
    <w:uiPriority w:val="0"/>
    <w:rPr>
      <w:sz w:val="18"/>
      <w:szCs w:val="18"/>
    </w:rPr>
  </w:style>
  <w:style w:type="character" w:customStyle="1" w:styleId="8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页脚 Char1"/>
    <w:link w:val="3"/>
    <w:uiPriority w:val="0"/>
    <w:rPr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9990;&#34892;&#21150;&#20859;&#32769;&#39033;&#30446;\&#32489;&#25928;&#35780;&#20215;&#25552;&#20379;&#36164;&#26009;\2021&#24180;&#32489;&#25928;&#35780;&#20215;&#25972;&#25913;&#26041;&#26696;&#21450;&#25253;&#21578;\&#25972;&#25913;&#25253;&#21578;\2021&#24180;&#19990;&#34892;&#39033;&#30446;&#32489;&#25928;&#35780;&#20215;&#25253;&#21578;&#20844;&#243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2021年世行项目绩效评价报告公开.dot</Template>
  <Pages>3</Pages>
  <Words>1677</Words>
  <Characters>1837</Characters>
  <Lines>14</Lines>
  <Paragraphs>4</Paragraphs>
  <TotalTime>0</TotalTime>
  <ScaleCrop>false</ScaleCrop>
  <LinksUpToDate>false</LinksUpToDate>
  <CharactersWithSpaces>1864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2022-04-28T00:23:00Z</dcterms:created>
  <dc:creator>陈银</dc:creator>
  <cp:lastModifiedBy>陈银</cp:lastModifiedBy>
  <dcterms:modified xsi:type="dcterms:W3CDTF">2022-04-28T00:24:01Z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2D1E593DBC1C4559BC56CD5AAFC66187</vt:lpwstr>
  </property>
  <property fmtid="{D5CDD505-2E9C-101B-9397-08002B2CF9AE}" pid="3" name="KSOProductBuildVer">
    <vt:lpwstr>2052-11.1.0.11365</vt:lpwstr>
  </property>
</Properties>
</file>