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right="359" w:rightChars="171"/>
        <w:jc w:val="center"/>
        <w:rPr>
          <w:rFonts w:hint="eastAsia" w:ascii="方正小标宋简体" w:hAnsi="方正小标宋简体" w:eastAsia="方正小标宋简体" w:cs="方正小标宋简体"/>
          <w:sz w:val="32"/>
          <w:szCs w:val="32"/>
          <w:lang w:eastAsia="zh-CN"/>
        </w:rPr>
      </w:pPr>
    </w:p>
    <w:p>
      <w:pPr>
        <w:ind w:right="359" w:rightChars="171"/>
        <w:jc w:val="center"/>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lang w:eastAsia="zh-CN"/>
        </w:rPr>
        <w:t>贵州省</w:t>
      </w:r>
      <w:r>
        <w:rPr>
          <w:rFonts w:hint="eastAsia" w:ascii="方正小标宋简体" w:hAnsi="方正小标宋简体" w:eastAsia="方正小标宋简体" w:cs="方正小标宋简体"/>
          <w:sz w:val="32"/>
          <w:szCs w:val="32"/>
          <w:lang w:val="en-US" w:eastAsia="zh-CN"/>
        </w:rPr>
        <w:t>2021年第三季度民政事业统计季报分析</w:t>
      </w:r>
    </w:p>
    <w:p>
      <w:pPr>
        <w:ind w:right="359" w:rightChars="171"/>
        <w:jc w:val="center"/>
        <w:rPr>
          <w:rFonts w:hint="eastAsia" w:ascii="方正小标宋简体" w:hAnsi="方正小标宋简体" w:eastAsia="方正小标宋简体" w:cs="方正小标宋简体"/>
          <w:sz w:val="32"/>
          <w:szCs w:val="32"/>
          <w:lang w:val="en-US" w:eastAsia="zh-CN"/>
        </w:rPr>
      </w:pPr>
    </w:p>
    <w:p>
      <w:pPr>
        <w:ind w:right="359" w:rightChars="171"/>
        <w:rPr>
          <w:rFonts w:hint="eastAsia" w:ascii="宋体" w:hAnsi="宋体"/>
          <w:sz w:val="30"/>
          <w:szCs w:val="30"/>
        </w:rPr>
      </w:pPr>
      <w:r>
        <w:rPr>
          <w:rFonts w:hint="eastAsia" w:eastAsia="黑体"/>
          <w:sz w:val="32"/>
          <w:szCs w:val="32"/>
        </w:rPr>
        <w:t>一 、</w:t>
      </w:r>
      <w:r>
        <w:rPr>
          <w:rFonts w:hint="eastAsia" w:eastAsia="黑体"/>
          <w:sz w:val="32"/>
          <w:szCs w:val="32"/>
          <w:lang w:eastAsia="zh-CN"/>
        </w:rPr>
        <w:t>行政区划</w:t>
      </w:r>
      <w:bookmarkStart w:id="3" w:name="_GoBack"/>
      <w:bookmarkEnd w:id="3"/>
    </w:p>
    <w:tbl>
      <w:tblPr>
        <w:tblStyle w:val="6"/>
        <w:tblW w:w="9287" w:type="dxa"/>
        <w:tblInd w:w="-340" w:type="dxa"/>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
      <w:tblGrid>
        <w:gridCol w:w="3572"/>
        <w:gridCol w:w="1134"/>
        <w:gridCol w:w="1431"/>
        <w:gridCol w:w="1541"/>
        <w:gridCol w:w="1609"/>
      </w:tblGrid>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single" w:color="auto" w:sz="4" w:space="0"/>
              <w:bottom w:val="nil"/>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指      标</w:t>
            </w:r>
          </w:p>
        </w:tc>
        <w:tc>
          <w:tcPr>
            <w:tcW w:w="1134" w:type="dxa"/>
            <w:tcBorders>
              <w:top w:val="single" w:color="auto" w:sz="4" w:space="0"/>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单 位</w:t>
            </w:r>
          </w:p>
        </w:tc>
        <w:tc>
          <w:tcPr>
            <w:tcW w:w="1431" w:type="dxa"/>
            <w:tcBorders>
              <w:top w:val="single" w:color="auto" w:sz="4" w:space="0"/>
              <w:left w:val="single" w:color="auto" w:sz="4" w:space="0"/>
              <w:bottom w:val="single" w:color="auto" w:sz="4" w:space="0"/>
              <w:right w:val="single" w:color="auto" w:sz="4" w:space="0"/>
            </w:tcBorders>
            <w:vAlign w:val="bottom"/>
          </w:tcPr>
          <w:p>
            <w:pPr>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数    量</w:t>
            </w:r>
          </w:p>
        </w:tc>
        <w:tc>
          <w:tcPr>
            <w:tcW w:w="1541" w:type="dxa"/>
            <w:tcBorders>
              <w:top w:val="single" w:color="auto" w:sz="4" w:space="0"/>
              <w:left w:val="single" w:color="auto" w:sz="4" w:space="0"/>
              <w:bottom w:val="single" w:color="auto" w:sz="4" w:space="0"/>
              <w:right w:val="single" w:color="auto" w:sz="4" w:space="0"/>
            </w:tcBorders>
            <w:vAlign w:val="bottom"/>
          </w:tcPr>
          <w:p>
            <w:pPr>
              <w:jc w:val="righ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环比（%）</w:t>
            </w:r>
          </w:p>
        </w:tc>
        <w:tc>
          <w:tcPr>
            <w:tcW w:w="1609" w:type="dxa"/>
            <w:tcBorders>
              <w:top w:val="single" w:color="auto" w:sz="4" w:space="0"/>
              <w:left w:val="single" w:color="auto" w:sz="4" w:space="0"/>
              <w:bottom w:val="single" w:color="auto" w:sz="4" w:space="0"/>
            </w:tcBorders>
            <w:vAlign w:val="bottom"/>
          </w:tcPr>
          <w:p>
            <w:pPr>
              <w:jc w:val="right"/>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同比（％）</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single" w:color="auto" w:sz="4" w:space="0"/>
              <w:bottom w:val="nil"/>
              <w:right w:val="single" w:color="auto" w:sz="4" w:space="0"/>
            </w:tcBorders>
            <w:vAlign w:val="center"/>
          </w:tcPr>
          <w:p>
            <w:pPr>
              <w:widowControl/>
              <w:jc w:val="left"/>
              <w:rPr>
                <w:rFonts w:hint="eastAsia" w:ascii="仿宋_GB2312" w:hAnsi="仿宋_GB2312" w:eastAsia="仿宋_GB2312" w:cs="仿宋_GB2312"/>
                <w:kern w:val="0"/>
                <w:sz w:val="24"/>
                <w:szCs w:val="24"/>
              </w:rPr>
            </w:pPr>
          </w:p>
        </w:tc>
        <w:tc>
          <w:tcPr>
            <w:tcW w:w="1134" w:type="dxa"/>
            <w:tcBorders>
              <w:top w:val="single" w:color="auto" w:sz="4" w:space="0"/>
              <w:left w:val="single" w:color="auto" w:sz="4" w:space="0"/>
              <w:bottom w:val="nil"/>
              <w:right w:val="single" w:color="auto" w:sz="4" w:space="0"/>
            </w:tcBorders>
            <w:vAlign w:val="center"/>
          </w:tcPr>
          <w:p>
            <w:pPr>
              <w:widowControl/>
              <w:jc w:val="both"/>
              <w:rPr>
                <w:rFonts w:hint="eastAsia" w:ascii="仿宋_GB2312" w:hAnsi="仿宋_GB2312" w:eastAsia="仿宋_GB2312" w:cs="仿宋_GB2312"/>
                <w:kern w:val="0"/>
                <w:sz w:val="24"/>
                <w:szCs w:val="24"/>
              </w:rPr>
            </w:pPr>
          </w:p>
        </w:tc>
        <w:tc>
          <w:tcPr>
            <w:tcW w:w="1431" w:type="dxa"/>
            <w:tcBorders>
              <w:top w:val="single" w:color="auto" w:sz="4" w:space="0"/>
              <w:left w:val="single" w:color="auto" w:sz="4" w:space="0"/>
              <w:bottom w:val="nil"/>
              <w:right w:val="nil"/>
            </w:tcBorders>
            <w:vAlign w:val="bottom"/>
          </w:tcPr>
          <w:p>
            <w:pPr>
              <w:widowControl/>
              <w:jc w:val="center"/>
              <w:rPr>
                <w:rFonts w:hint="eastAsia" w:ascii="仿宋_GB2312" w:hAnsi="仿宋_GB2312" w:eastAsia="仿宋_GB2312" w:cs="仿宋_GB2312"/>
                <w:color w:val="000000"/>
                <w:kern w:val="0"/>
                <w:sz w:val="24"/>
                <w:szCs w:val="24"/>
                <w:lang w:val="en-US"/>
              </w:rPr>
            </w:pPr>
          </w:p>
        </w:tc>
        <w:tc>
          <w:tcPr>
            <w:tcW w:w="1541" w:type="dxa"/>
            <w:tcBorders>
              <w:top w:val="single" w:color="auto" w:sz="4" w:space="0"/>
              <w:left w:val="nil"/>
              <w:bottom w:val="nil"/>
              <w:right w:val="nil"/>
            </w:tcBorders>
            <w:vAlign w:val="bottom"/>
          </w:tcPr>
          <w:p>
            <w:pPr>
              <w:widowControl/>
              <w:jc w:val="center"/>
              <w:rPr>
                <w:rFonts w:hint="eastAsia" w:ascii="仿宋_GB2312" w:hAnsi="仿宋_GB2312" w:eastAsia="仿宋_GB2312" w:cs="仿宋_GB2312"/>
                <w:color w:val="000000"/>
                <w:kern w:val="0"/>
                <w:sz w:val="24"/>
                <w:szCs w:val="24"/>
                <w:lang w:val="en-US" w:eastAsia="zh-CN"/>
              </w:rPr>
            </w:pPr>
          </w:p>
        </w:tc>
        <w:tc>
          <w:tcPr>
            <w:tcW w:w="1609" w:type="dxa"/>
            <w:tcBorders>
              <w:top w:val="single" w:color="auto" w:sz="4" w:space="0"/>
              <w:left w:val="nil"/>
              <w:bottom w:val="nil"/>
              <w:right w:val="nil"/>
            </w:tcBorders>
            <w:vAlign w:val="bottom"/>
          </w:tcPr>
          <w:p>
            <w:pPr>
              <w:jc w:val="center"/>
              <w:rPr>
                <w:rFonts w:hint="eastAsia" w:ascii="仿宋_GB2312" w:hAnsi="仿宋_GB2312" w:eastAsia="仿宋_GB2312" w:cs="仿宋_GB2312"/>
                <w:color w:val="000000"/>
                <w:sz w:val="24"/>
                <w:szCs w:val="24"/>
                <w:lang w:val="en-US" w:eastAsia="zh-CN"/>
              </w:rPr>
            </w:pP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nil"/>
              <w:bottom w:val="nil"/>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镇</w:t>
            </w:r>
          </w:p>
        </w:tc>
        <w:tc>
          <w:tcPr>
            <w:tcW w:w="1134" w:type="dxa"/>
            <w:tcBorders>
              <w:top w:val="nil"/>
              <w:bottom w:val="nil"/>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个</w:t>
            </w:r>
          </w:p>
        </w:tc>
        <w:tc>
          <w:tcPr>
            <w:tcW w:w="1431" w:type="dxa"/>
            <w:tcBorders>
              <w:top w:val="nil"/>
              <w:left w:val="single" w:color="auto" w:sz="4" w:space="0"/>
              <w:bottom w:val="nil"/>
              <w:right w:val="nil"/>
            </w:tcBorders>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4"/>
                <w:szCs w:val="24"/>
                <w:lang w:val="en-US"/>
              </w:rPr>
            </w:pPr>
            <w:r>
              <w:rPr>
                <w:rFonts w:hint="eastAsia" w:ascii="宋体" w:hAnsi="宋体" w:eastAsia="宋体" w:cs="宋体"/>
                <w:i w:val="0"/>
                <w:color w:val="000000"/>
                <w:kern w:val="0"/>
                <w:sz w:val="22"/>
                <w:szCs w:val="22"/>
                <w:u w:val="none"/>
                <w:lang w:val="en-US" w:eastAsia="zh-CN" w:bidi="ar"/>
              </w:rPr>
              <w:t>832</w:t>
            </w:r>
          </w:p>
        </w:tc>
        <w:tc>
          <w:tcPr>
            <w:tcW w:w="1541" w:type="dxa"/>
            <w:tcBorders>
              <w:top w:val="nil"/>
              <w:left w:val="nil"/>
              <w:bottom w:val="nil"/>
              <w:right w:val="nil"/>
            </w:tcBorders>
            <w:vAlign w:val="bottom"/>
          </w:tcPr>
          <w:p>
            <w:pPr>
              <w:keepNext w:val="0"/>
              <w:keepLines w:val="0"/>
              <w:widowControl/>
              <w:suppressLineNumbers w:val="0"/>
              <w:jc w:val="center"/>
              <w:textAlignment w:val="bottom"/>
              <w:rPr>
                <w:rFonts w:hint="eastAsia" w:ascii="仿宋_GB2312" w:hAnsi="仿宋_GB2312" w:eastAsia="仿宋_GB2312" w:cs="仿宋_GB2312"/>
                <w:color w:val="000000"/>
                <w:sz w:val="24"/>
                <w:szCs w:val="24"/>
                <w:lang w:val="en-US" w:eastAsia="zh-CN"/>
              </w:rPr>
            </w:pPr>
            <w:r>
              <w:rPr>
                <w:rFonts w:hint="eastAsia" w:ascii="仿宋_GB2312" w:hAnsi="Arial" w:eastAsia="仿宋_GB2312" w:cs="仿宋_GB2312"/>
                <w:i w:val="0"/>
                <w:color w:val="000000"/>
                <w:kern w:val="0"/>
                <w:sz w:val="24"/>
                <w:szCs w:val="24"/>
                <w:u w:val="none"/>
                <w:lang w:val="en-US" w:eastAsia="zh-CN" w:bidi="ar"/>
              </w:rPr>
              <w:t>——</w:t>
            </w:r>
          </w:p>
        </w:tc>
        <w:tc>
          <w:tcPr>
            <w:tcW w:w="1609" w:type="dxa"/>
            <w:tcBorders>
              <w:top w:val="nil"/>
              <w:left w:val="nil"/>
              <w:bottom w:val="nil"/>
              <w:right w:val="nil"/>
            </w:tcBorders>
            <w:vAlign w:val="bottom"/>
          </w:tcPr>
          <w:p>
            <w:pPr>
              <w:keepNext w:val="0"/>
              <w:keepLines w:val="0"/>
              <w:widowControl/>
              <w:suppressLineNumbers w:val="0"/>
              <w:jc w:val="center"/>
              <w:textAlignment w:val="bottom"/>
              <w:rPr>
                <w:rFonts w:hint="eastAsia"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-0.12</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nil"/>
              <w:bottom w:val="nil"/>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乡</w:t>
            </w:r>
          </w:p>
        </w:tc>
        <w:tc>
          <w:tcPr>
            <w:tcW w:w="1134" w:type="dxa"/>
            <w:tcBorders>
              <w:top w:val="nil"/>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个</w:t>
            </w:r>
          </w:p>
        </w:tc>
        <w:tc>
          <w:tcPr>
            <w:tcW w:w="1431" w:type="dxa"/>
            <w:tcBorders>
              <w:top w:val="nil"/>
              <w:left w:val="single" w:color="auto" w:sz="4" w:space="0"/>
              <w:bottom w:val="nil"/>
              <w:right w:val="nil"/>
            </w:tcBorders>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4"/>
                <w:szCs w:val="24"/>
              </w:rPr>
            </w:pPr>
            <w:r>
              <w:rPr>
                <w:rFonts w:hint="eastAsia" w:ascii="宋体" w:hAnsi="宋体" w:eastAsia="宋体" w:cs="宋体"/>
                <w:i w:val="0"/>
                <w:color w:val="000000"/>
                <w:kern w:val="0"/>
                <w:sz w:val="22"/>
                <w:szCs w:val="22"/>
                <w:u w:val="none"/>
                <w:lang w:val="en-US" w:eastAsia="zh-CN" w:bidi="ar"/>
              </w:rPr>
              <w:t>122</w:t>
            </w:r>
          </w:p>
        </w:tc>
        <w:tc>
          <w:tcPr>
            <w:tcW w:w="1541" w:type="dxa"/>
            <w:tcBorders>
              <w:top w:val="nil"/>
              <w:left w:val="nil"/>
              <w:bottom w:val="nil"/>
              <w:right w:val="nil"/>
            </w:tcBorders>
            <w:vAlign w:val="bottom"/>
          </w:tcPr>
          <w:p>
            <w:pPr>
              <w:keepNext w:val="0"/>
              <w:keepLines w:val="0"/>
              <w:widowControl/>
              <w:suppressLineNumbers w:val="0"/>
              <w:jc w:val="center"/>
              <w:textAlignment w:val="bottom"/>
              <w:rPr>
                <w:rFonts w:hint="eastAsia" w:ascii="仿宋_GB2312" w:hAnsi="仿宋_GB2312" w:eastAsia="仿宋_GB2312" w:cs="仿宋_GB2312"/>
                <w:color w:val="000000"/>
                <w:sz w:val="24"/>
                <w:szCs w:val="24"/>
              </w:rPr>
            </w:pPr>
            <w:r>
              <w:rPr>
                <w:rFonts w:hint="eastAsia" w:ascii="仿宋_GB2312" w:hAnsi="Arial" w:eastAsia="仿宋_GB2312" w:cs="仿宋_GB2312"/>
                <w:i w:val="0"/>
                <w:color w:val="000000"/>
                <w:kern w:val="0"/>
                <w:sz w:val="24"/>
                <w:szCs w:val="24"/>
                <w:u w:val="none"/>
                <w:lang w:val="en-US" w:eastAsia="zh-CN" w:bidi="ar"/>
              </w:rPr>
              <w:t>——</w:t>
            </w:r>
          </w:p>
        </w:tc>
        <w:tc>
          <w:tcPr>
            <w:tcW w:w="1609" w:type="dxa"/>
            <w:tcBorders>
              <w:top w:val="nil"/>
              <w:left w:val="nil"/>
              <w:bottom w:val="nil"/>
              <w:right w:val="nil"/>
            </w:tcBorders>
            <w:vAlign w:val="bottom"/>
          </w:tcPr>
          <w:p>
            <w:pPr>
              <w:keepNext w:val="0"/>
              <w:keepLines w:val="0"/>
              <w:widowControl/>
              <w:suppressLineNumbers w:val="0"/>
              <w:jc w:val="center"/>
              <w:textAlignment w:val="bottom"/>
              <w:rPr>
                <w:rFonts w:hint="eastAsia" w:ascii="仿宋_GB2312" w:hAnsi="仿宋_GB2312" w:eastAsia="仿宋_GB2312" w:cs="仿宋_GB2312"/>
                <w:color w:val="000000"/>
                <w:sz w:val="24"/>
                <w:szCs w:val="24"/>
                <w:lang w:val="en-US" w:eastAsia="zh-CN"/>
              </w:rPr>
            </w:pPr>
            <w:r>
              <w:rPr>
                <w:rFonts w:hint="eastAsia" w:ascii="仿宋_GB2312" w:hAnsi="Arial" w:eastAsia="仿宋_GB2312" w:cs="仿宋_GB2312"/>
                <w:i w:val="0"/>
                <w:color w:val="000000"/>
                <w:kern w:val="0"/>
                <w:sz w:val="24"/>
                <w:szCs w:val="24"/>
                <w:u w:val="none"/>
                <w:lang w:val="en-US" w:eastAsia="zh-CN" w:bidi="ar"/>
              </w:rPr>
              <w:t>——</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nil"/>
              <w:bottom w:val="nil"/>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w:t>
            </w:r>
            <w:r>
              <w:rPr>
                <w:rFonts w:hint="eastAsia" w:ascii="仿宋_GB2312" w:hAnsi="仿宋_GB2312" w:eastAsia="仿宋_GB2312" w:cs="仿宋_GB2312"/>
                <w:kern w:val="0"/>
                <w:sz w:val="24"/>
                <w:szCs w:val="24"/>
                <w:lang w:val="en-US" w:eastAsia="zh-CN"/>
              </w:rPr>
              <w:t xml:space="preserve"> </w:t>
            </w:r>
            <w:r>
              <w:rPr>
                <w:rFonts w:hint="eastAsia" w:ascii="仿宋_GB2312" w:hAnsi="仿宋_GB2312" w:eastAsia="仿宋_GB2312" w:cs="仿宋_GB2312"/>
                <w:kern w:val="0"/>
                <w:sz w:val="24"/>
                <w:szCs w:val="24"/>
                <w:lang w:eastAsia="zh-CN"/>
              </w:rPr>
              <w:t>民族乡</w:t>
            </w:r>
          </w:p>
        </w:tc>
        <w:tc>
          <w:tcPr>
            <w:tcW w:w="1134" w:type="dxa"/>
            <w:tcBorders>
              <w:top w:val="nil"/>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lang w:eastAsia="zh-CN"/>
              </w:rPr>
            </w:pPr>
            <w:r>
              <w:rPr>
                <w:rFonts w:hint="eastAsia" w:ascii="仿宋_GB2312" w:hAnsi="仿宋_GB2312" w:eastAsia="仿宋_GB2312" w:cs="仿宋_GB2312"/>
                <w:kern w:val="0"/>
                <w:sz w:val="24"/>
                <w:szCs w:val="24"/>
                <w:lang w:eastAsia="zh-CN"/>
              </w:rPr>
              <w:t>个</w:t>
            </w:r>
          </w:p>
        </w:tc>
        <w:tc>
          <w:tcPr>
            <w:tcW w:w="1431" w:type="dxa"/>
            <w:tcBorders>
              <w:top w:val="nil"/>
              <w:left w:val="single" w:color="auto" w:sz="4" w:space="0"/>
              <w:bottom w:val="nil"/>
              <w:right w:val="nil"/>
            </w:tcBorders>
            <w:vAlign w:val="bottom"/>
          </w:tcPr>
          <w:p>
            <w:pPr>
              <w:keepNext w:val="0"/>
              <w:keepLines w:val="0"/>
              <w:widowControl/>
              <w:suppressLineNumbers w:val="0"/>
              <w:jc w:val="center"/>
              <w:textAlignment w:val="bottom"/>
              <w:rPr>
                <w:rFonts w:hint="eastAsia" w:ascii="仿宋_GB2312" w:hAnsi="仿宋_GB2312" w:eastAsia="仿宋_GB2312" w:cs="仿宋_GB2312"/>
                <w:color w:val="000000"/>
                <w:sz w:val="24"/>
                <w:szCs w:val="24"/>
                <w:lang w:val="en-US" w:eastAsia="zh-CN"/>
              </w:rPr>
            </w:pPr>
            <w:r>
              <w:rPr>
                <w:rFonts w:hint="default" w:ascii="宋体" w:hAnsi="宋体" w:eastAsia="宋体" w:cs="宋体"/>
                <w:i w:val="0"/>
                <w:color w:val="000000"/>
                <w:kern w:val="0"/>
                <w:sz w:val="22"/>
                <w:szCs w:val="22"/>
                <w:u w:val="none"/>
                <w:lang w:val="en-US" w:eastAsia="zh-CN" w:bidi="ar"/>
              </w:rPr>
              <w:t>193</w:t>
            </w:r>
          </w:p>
        </w:tc>
        <w:tc>
          <w:tcPr>
            <w:tcW w:w="1541" w:type="dxa"/>
            <w:tcBorders>
              <w:top w:val="nil"/>
              <w:left w:val="nil"/>
              <w:bottom w:val="nil"/>
              <w:right w:val="nil"/>
            </w:tcBorders>
            <w:vAlign w:val="bottom"/>
          </w:tcPr>
          <w:p>
            <w:pPr>
              <w:keepNext w:val="0"/>
              <w:keepLines w:val="0"/>
              <w:widowControl/>
              <w:suppressLineNumbers w:val="0"/>
              <w:jc w:val="center"/>
              <w:textAlignment w:val="bottom"/>
              <w:rPr>
                <w:rFonts w:hint="eastAsia" w:ascii="仿宋_GB2312" w:hAnsi="仿宋_GB2312" w:eastAsia="仿宋_GB2312" w:cs="仿宋_GB2312"/>
                <w:color w:val="000000"/>
                <w:sz w:val="24"/>
                <w:szCs w:val="24"/>
                <w:lang w:val="en-US" w:eastAsia="zh-CN"/>
              </w:rPr>
            </w:pPr>
            <w:r>
              <w:rPr>
                <w:rFonts w:hint="eastAsia" w:ascii="仿宋_GB2312" w:hAnsi="Arial" w:eastAsia="仿宋_GB2312" w:cs="仿宋_GB2312"/>
                <w:i w:val="0"/>
                <w:color w:val="000000"/>
                <w:kern w:val="0"/>
                <w:sz w:val="24"/>
                <w:szCs w:val="24"/>
                <w:u w:val="none"/>
                <w:lang w:val="en-US" w:eastAsia="zh-CN" w:bidi="ar"/>
              </w:rPr>
              <w:t>——</w:t>
            </w:r>
          </w:p>
        </w:tc>
        <w:tc>
          <w:tcPr>
            <w:tcW w:w="1609" w:type="dxa"/>
            <w:tcBorders>
              <w:top w:val="nil"/>
              <w:left w:val="nil"/>
              <w:bottom w:val="nil"/>
              <w:right w:val="nil"/>
            </w:tcBorders>
            <w:vAlign w:val="bottom"/>
          </w:tcPr>
          <w:p>
            <w:pPr>
              <w:keepNext w:val="0"/>
              <w:keepLines w:val="0"/>
              <w:widowControl/>
              <w:suppressLineNumbers w:val="0"/>
              <w:jc w:val="center"/>
              <w:textAlignment w:val="bottom"/>
              <w:rPr>
                <w:rFonts w:hint="eastAsia" w:ascii="仿宋_GB2312" w:hAnsi="仿宋_GB2312" w:eastAsia="仿宋_GB2312" w:cs="仿宋_GB2312"/>
                <w:color w:val="000000"/>
                <w:sz w:val="24"/>
                <w:szCs w:val="24"/>
                <w:lang w:val="en-US" w:eastAsia="zh-CN"/>
              </w:rPr>
            </w:pPr>
            <w:r>
              <w:rPr>
                <w:rFonts w:hint="eastAsia" w:ascii="仿宋_GB2312" w:hAnsi="Arial" w:eastAsia="仿宋_GB2312" w:cs="仿宋_GB2312"/>
                <w:i w:val="0"/>
                <w:color w:val="000000"/>
                <w:kern w:val="0"/>
                <w:sz w:val="24"/>
                <w:szCs w:val="24"/>
                <w:u w:val="none"/>
                <w:lang w:val="en-US" w:eastAsia="zh-CN" w:bidi="ar"/>
              </w:rPr>
              <w:t>——</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nil"/>
              <w:bottom w:val="single" w:color="auto" w:sz="4" w:space="0"/>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街道办事处</w:t>
            </w:r>
          </w:p>
        </w:tc>
        <w:tc>
          <w:tcPr>
            <w:tcW w:w="1134" w:type="dxa"/>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kern w:val="0"/>
                <w:sz w:val="24"/>
                <w:szCs w:val="24"/>
                <w:lang w:eastAsia="zh-CN"/>
              </w:rPr>
            </w:pPr>
            <w:r>
              <w:rPr>
                <w:rFonts w:hint="eastAsia" w:ascii="仿宋_GB2312" w:hAnsi="仿宋_GB2312" w:eastAsia="仿宋_GB2312" w:cs="仿宋_GB2312"/>
                <w:kern w:val="0"/>
                <w:sz w:val="24"/>
                <w:szCs w:val="24"/>
                <w:lang w:eastAsia="zh-CN"/>
              </w:rPr>
              <w:t>个</w:t>
            </w:r>
          </w:p>
        </w:tc>
        <w:tc>
          <w:tcPr>
            <w:tcW w:w="1431" w:type="dxa"/>
            <w:tcBorders>
              <w:top w:val="nil"/>
              <w:left w:val="single" w:color="auto" w:sz="4" w:space="0"/>
              <w:bottom w:val="single" w:color="auto" w:sz="4" w:space="0"/>
              <w:right w:val="nil"/>
            </w:tcBorders>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4"/>
                <w:szCs w:val="24"/>
                <w:lang w:val="en-US" w:eastAsia="zh-CN"/>
              </w:rPr>
            </w:pPr>
            <w:r>
              <w:rPr>
                <w:rFonts w:hint="eastAsia" w:ascii="宋体" w:hAnsi="宋体" w:eastAsia="宋体" w:cs="宋体"/>
                <w:i w:val="0"/>
                <w:color w:val="000000"/>
                <w:kern w:val="0"/>
                <w:sz w:val="22"/>
                <w:szCs w:val="22"/>
                <w:u w:val="none"/>
                <w:lang w:val="en-US" w:eastAsia="zh-CN" w:bidi="ar"/>
              </w:rPr>
              <w:t>362</w:t>
            </w:r>
          </w:p>
        </w:tc>
        <w:tc>
          <w:tcPr>
            <w:tcW w:w="1541" w:type="dxa"/>
            <w:tcBorders>
              <w:top w:val="nil"/>
              <w:left w:val="nil"/>
              <w:bottom w:val="single" w:color="auto" w:sz="4" w:space="0"/>
              <w:right w:val="nil"/>
            </w:tcBorders>
            <w:vAlign w:val="bottom"/>
          </w:tcPr>
          <w:p>
            <w:pPr>
              <w:keepNext w:val="0"/>
              <w:keepLines w:val="0"/>
              <w:widowControl/>
              <w:suppressLineNumbers w:val="0"/>
              <w:jc w:val="center"/>
              <w:textAlignment w:val="bottom"/>
              <w:rPr>
                <w:rFonts w:hint="eastAsia" w:ascii="仿宋_GB2312" w:hAnsi="仿宋_GB2312" w:eastAsia="仿宋_GB2312" w:cs="仿宋_GB2312"/>
                <w:color w:val="000000"/>
                <w:sz w:val="24"/>
                <w:szCs w:val="24"/>
                <w:lang w:val="en-US" w:eastAsia="zh-CN"/>
              </w:rPr>
            </w:pPr>
            <w:r>
              <w:rPr>
                <w:rFonts w:hint="eastAsia" w:ascii="仿宋_GB2312" w:hAnsi="Arial" w:eastAsia="仿宋_GB2312" w:cs="仿宋_GB2312"/>
                <w:i w:val="0"/>
                <w:color w:val="000000"/>
                <w:kern w:val="0"/>
                <w:sz w:val="24"/>
                <w:szCs w:val="24"/>
                <w:u w:val="none"/>
                <w:lang w:val="en-US" w:eastAsia="zh-CN" w:bidi="ar"/>
              </w:rPr>
              <w:t>——</w:t>
            </w:r>
          </w:p>
        </w:tc>
        <w:tc>
          <w:tcPr>
            <w:tcW w:w="1609" w:type="dxa"/>
            <w:tcBorders>
              <w:top w:val="nil"/>
              <w:left w:val="nil"/>
              <w:bottom w:val="single" w:color="auto" w:sz="4" w:space="0"/>
              <w:right w:val="nil"/>
            </w:tcBorders>
            <w:vAlign w:val="bottom"/>
          </w:tcPr>
          <w:p>
            <w:pPr>
              <w:keepNext w:val="0"/>
              <w:keepLines w:val="0"/>
              <w:widowControl/>
              <w:suppressLineNumbers w:val="0"/>
              <w:jc w:val="center"/>
              <w:textAlignment w:val="bottom"/>
              <w:rPr>
                <w:rFonts w:hint="eastAsia"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0.28</w:t>
            </w:r>
          </w:p>
        </w:tc>
      </w:tr>
    </w:tbl>
    <w:p>
      <w:pPr>
        <w:ind w:right="359" w:rightChars="171"/>
        <w:rPr>
          <w:rFonts w:hint="eastAsia" w:ascii="仿宋_GB2312" w:eastAsia="仿宋_GB2312"/>
          <w:sz w:val="24"/>
        </w:rPr>
      </w:pPr>
    </w:p>
    <w:p>
      <w:pPr>
        <w:ind w:left="-359" w:leftChars="-171" w:right="359" w:rightChars="171" w:firstLine="480" w:firstLineChars="200"/>
        <w:rPr>
          <w:rFonts w:hint="eastAsia" w:ascii="仿宋_GB2312" w:eastAsia="仿宋_GB2312"/>
          <w:sz w:val="24"/>
        </w:rPr>
      </w:pPr>
      <w:r>
        <w:rPr>
          <w:rFonts w:hint="eastAsia" w:ascii="仿宋_GB2312" w:eastAsia="仿宋_GB2312"/>
          <w:sz w:val="24"/>
        </w:rPr>
        <w:t>截至</w:t>
      </w:r>
      <w:r>
        <w:rPr>
          <w:rFonts w:hint="eastAsia" w:ascii="仿宋_GB2312" w:eastAsia="仿宋_GB2312"/>
          <w:sz w:val="24"/>
          <w:lang w:val="en-US" w:eastAsia="zh-CN"/>
        </w:rPr>
        <w:t>2021年9月底</w:t>
      </w:r>
      <w:r>
        <w:rPr>
          <w:rFonts w:hint="eastAsia" w:ascii="仿宋_GB2312" w:eastAsia="仿宋_GB2312"/>
          <w:sz w:val="24"/>
        </w:rPr>
        <w:t>，全</w:t>
      </w:r>
      <w:r>
        <w:rPr>
          <w:rFonts w:hint="eastAsia" w:ascii="仿宋_GB2312" w:eastAsia="仿宋_GB2312"/>
          <w:sz w:val="24"/>
          <w:lang w:eastAsia="zh-CN"/>
        </w:rPr>
        <w:t>省</w:t>
      </w:r>
      <w:r>
        <w:rPr>
          <w:rFonts w:hint="eastAsia" w:ascii="仿宋_GB2312" w:eastAsia="仿宋_GB2312"/>
          <w:sz w:val="24"/>
        </w:rPr>
        <w:t>共有</w:t>
      </w:r>
      <w:r>
        <w:rPr>
          <w:rFonts w:hint="eastAsia" w:ascii="仿宋_GB2312" w:eastAsia="仿宋_GB2312"/>
          <w:sz w:val="24"/>
          <w:lang w:eastAsia="zh-CN"/>
        </w:rPr>
        <w:t>镇</w:t>
      </w:r>
      <w:r>
        <w:rPr>
          <w:rFonts w:hint="eastAsia" w:ascii="仿宋_GB2312" w:eastAsia="仿宋_GB2312"/>
          <w:sz w:val="24"/>
          <w:lang w:val="en-US" w:eastAsia="zh-CN"/>
        </w:rPr>
        <w:t>832个，与2021年2季度持平，比上年同期下降0.12%；</w:t>
      </w:r>
      <w:r>
        <w:rPr>
          <w:rFonts w:hint="eastAsia" w:ascii="仿宋_GB2312" w:eastAsia="仿宋_GB2312"/>
          <w:sz w:val="24"/>
        </w:rPr>
        <w:t>乡</w:t>
      </w:r>
      <w:r>
        <w:rPr>
          <w:rFonts w:hint="eastAsia" w:ascii="仿宋_GB2312" w:eastAsia="仿宋_GB2312"/>
          <w:sz w:val="24"/>
          <w:lang w:val="en-US" w:eastAsia="zh-CN"/>
        </w:rPr>
        <w:t>122个，与2021年2季度持平，</w:t>
      </w:r>
      <w:r>
        <w:rPr>
          <w:rFonts w:hint="eastAsia" w:ascii="仿宋_GB2312" w:eastAsia="仿宋_GB2312"/>
          <w:sz w:val="24"/>
          <w:lang w:eastAsia="zh-CN"/>
        </w:rPr>
        <w:t>与</w:t>
      </w:r>
      <w:r>
        <w:rPr>
          <w:rFonts w:hint="eastAsia" w:ascii="仿宋_GB2312" w:eastAsia="仿宋_GB2312"/>
          <w:sz w:val="24"/>
        </w:rPr>
        <w:t>上年同期</w:t>
      </w:r>
      <w:r>
        <w:rPr>
          <w:rFonts w:hint="eastAsia" w:ascii="仿宋_GB2312" w:eastAsia="仿宋_GB2312"/>
          <w:sz w:val="24"/>
          <w:lang w:eastAsia="zh-CN"/>
        </w:rPr>
        <w:t>持平</w:t>
      </w:r>
      <w:r>
        <w:rPr>
          <w:rFonts w:hint="eastAsia" w:ascii="仿宋_GB2312" w:eastAsia="仿宋_GB2312"/>
          <w:sz w:val="24"/>
          <w:lang w:val="en-US" w:eastAsia="zh-CN"/>
        </w:rPr>
        <w:t>；</w:t>
      </w:r>
      <w:r>
        <w:rPr>
          <w:rFonts w:hint="eastAsia" w:ascii="仿宋_GB2312" w:eastAsia="仿宋_GB2312"/>
          <w:sz w:val="24"/>
          <w:lang w:eastAsia="zh-CN"/>
        </w:rPr>
        <w:t>民族乡</w:t>
      </w:r>
      <w:r>
        <w:rPr>
          <w:rFonts w:hint="eastAsia" w:ascii="仿宋_GB2312" w:eastAsia="仿宋_GB2312"/>
          <w:sz w:val="24"/>
          <w:lang w:val="en-US" w:eastAsia="zh-CN"/>
        </w:rPr>
        <w:t>193</w:t>
      </w:r>
      <w:r>
        <w:rPr>
          <w:rFonts w:hint="eastAsia" w:ascii="仿宋_GB2312" w:eastAsia="仿宋_GB2312"/>
          <w:sz w:val="24"/>
        </w:rPr>
        <w:t>个，</w:t>
      </w:r>
      <w:r>
        <w:rPr>
          <w:rFonts w:hint="eastAsia" w:ascii="仿宋_GB2312" w:eastAsia="仿宋_GB2312"/>
          <w:sz w:val="24"/>
          <w:lang w:val="en-US" w:eastAsia="zh-CN"/>
        </w:rPr>
        <w:t>与2021年2季度持平</w:t>
      </w:r>
      <w:r>
        <w:rPr>
          <w:rFonts w:hint="eastAsia" w:ascii="仿宋_GB2312" w:eastAsia="仿宋_GB2312"/>
          <w:sz w:val="24"/>
        </w:rPr>
        <w:t>，</w:t>
      </w:r>
      <w:r>
        <w:rPr>
          <w:rFonts w:hint="eastAsia" w:ascii="仿宋_GB2312" w:eastAsia="仿宋_GB2312"/>
          <w:sz w:val="24"/>
          <w:lang w:eastAsia="zh-CN"/>
        </w:rPr>
        <w:t>与</w:t>
      </w:r>
      <w:r>
        <w:rPr>
          <w:rFonts w:hint="eastAsia" w:ascii="仿宋_GB2312" w:eastAsia="仿宋_GB2312"/>
          <w:sz w:val="24"/>
        </w:rPr>
        <w:t>上年同期</w:t>
      </w:r>
      <w:r>
        <w:rPr>
          <w:rFonts w:hint="eastAsia" w:ascii="仿宋_GB2312" w:eastAsia="仿宋_GB2312"/>
          <w:sz w:val="24"/>
          <w:lang w:eastAsia="zh-CN"/>
        </w:rPr>
        <w:t>持平</w:t>
      </w:r>
      <w:r>
        <w:rPr>
          <w:rFonts w:hint="eastAsia" w:ascii="仿宋_GB2312" w:eastAsia="仿宋_GB2312"/>
          <w:sz w:val="24"/>
        </w:rPr>
        <w:t>；街道办事处</w:t>
      </w:r>
      <w:r>
        <w:rPr>
          <w:rFonts w:hint="eastAsia" w:ascii="仿宋_GB2312" w:eastAsia="仿宋_GB2312"/>
          <w:sz w:val="24"/>
          <w:lang w:val="en-US" w:eastAsia="zh-CN"/>
        </w:rPr>
        <w:t>362</w:t>
      </w:r>
      <w:r>
        <w:rPr>
          <w:rFonts w:hint="eastAsia" w:ascii="仿宋_GB2312" w:eastAsia="仿宋_GB2312"/>
          <w:sz w:val="24"/>
        </w:rPr>
        <w:t>个，</w:t>
      </w:r>
      <w:r>
        <w:rPr>
          <w:rFonts w:hint="eastAsia" w:ascii="仿宋_GB2312" w:eastAsia="仿宋_GB2312"/>
          <w:sz w:val="24"/>
          <w:lang w:val="en-US" w:eastAsia="zh-CN"/>
        </w:rPr>
        <w:t>与2021年2季度持平</w:t>
      </w:r>
      <w:r>
        <w:rPr>
          <w:rFonts w:hint="eastAsia" w:ascii="仿宋_GB2312" w:eastAsia="仿宋_GB2312"/>
          <w:sz w:val="24"/>
        </w:rPr>
        <w:t>,比上年同期同比增长</w:t>
      </w:r>
      <w:r>
        <w:rPr>
          <w:rFonts w:hint="eastAsia" w:ascii="仿宋_GB2312" w:eastAsia="仿宋_GB2312"/>
          <w:sz w:val="24"/>
          <w:lang w:val="en-US" w:eastAsia="zh-CN"/>
        </w:rPr>
        <w:t>0.28</w:t>
      </w:r>
      <w:r>
        <w:rPr>
          <w:rFonts w:hint="eastAsia" w:ascii="仿宋_GB2312" w:eastAsia="仿宋_GB2312"/>
          <w:sz w:val="24"/>
        </w:rPr>
        <w:t>%。</w:t>
      </w:r>
    </w:p>
    <w:p>
      <w:pPr>
        <w:ind w:left="-359" w:leftChars="-171" w:right="359" w:rightChars="171" w:firstLine="480" w:firstLineChars="200"/>
        <w:rPr>
          <w:rFonts w:hint="eastAsia" w:ascii="楷体_GB2312" w:hAnsi="楷体_GB2312" w:eastAsia="楷体_GB2312" w:cs="楷体_GB2312"/>
          <w:b/>
          <w:bCs/>
          <w:sz w:val="32"/>
          <w:szCs w:val="32"/>
        </w:rPr>
      </w:pPr>
      <w:r>
        <w:rPr>
          <w:rFonts w:hint="eastAsia" w:ascii="仿宋_GB2312" w:eastAsia="仿宋_GB2312"/>
          <w:sz w:val="24"/>
          <w:lang w:eastAsia="zh-CN"/>
        </w:rPr>
        <w:t>注：</w:t>
      </w:r>
      <w:r>
        <w:rPr>
          <w:rFonts w:hint="eastAsia" w:ascii="仿宋_GB2312" w:eastAsia="仿宋_GB2312"/>
          <w:sz w:val="24"/>
          <w:lang w:val="en-US" w:eastAsia="zh-CN"/>
        </w:rPr>
        <w:t>2020年起，乡不再包含民族乡，单列民族乡。</w:t>
      </w:r>
    </w:p>
    <w:p>
      <w:pPr>
        <w:ind w:right="359" w:rightChars="171"/>
        <w:jc w:val="left"/>
        <w:rPr>
          <w:rFonts w:hint="default" w:ascii="仿宋_GB2312" w:eastAsia="仿宋_GB2312"/>
          <w:b/>
          <w:sz w:val="24"/>
          <w:lang w:val="en-US"/>
        </w:rPr>
      </w:pPr>
      <w:r>
        <w:rPr>
          <w:rFonts w:hint="eastAsia" w:ascii="仿宋_GB2312" w:eastAsia="仿宋_GB2312"/>
          <w:b/>
          <w:sz w:val="24"/>
        </w:rPr>
        <w:t xml:space="preserve"> </w:t>
      </w:r>
    </w:p>
    <w:p>
      <w:pPr>
        <w:ind w:right="359" w:rightChars="171"/>
        <w:rPr>
          <w:rStyle w:val="5"/>
          <w:rFonts w:hint="eastAsia"/>
        </w:rPr>
      </w:pPr>
      <w:r>
        <w:rPr>
          <w:rFonts w:hint="eastAsia" w:eastAsia="黑体"/>
          <w:sz w:val="32"/>
          <w:szCs w:val="32"/>
        </w:rPr>
        <w:t>二 、社会工作</w:t>
      </w:r>
    </w:p>
    <w:p>
      <w:pPr>
        <w:numPr>
          <w:ilvl w:val="0"/>
          <w:numId w:val="0"/>
        </w:numPr>
        <w:ind w:leftChars="0" w:right="359" w:rightChars="17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eastAsia="zh-CN"/>
        </w:rPr>
        <w:t>（一）</w:t>
      </w:r>
      <w:r>
        <w:rPr>
          <w:rFonts w:hint="eastAsia" w:ascii="楷体_GB2312" w:hAnsi="楷体_GB2312" w:eastAsia="楷体_GB2312" w:cs="楷体_GB2312"/>
          <w:b/>
          <w:bCs/>
          <w:sz w:val="32"/>
          <w:szCs w:val="32"/>
        </w:rPr>
        <w:t>提供住宿的社会</w:t>
      </w:r>
      <w:r>
        <w:rPr>
          <w:rFonts w:hint="eastAsia" w:ascii="楷体_GB2312" w:hAnsi="楷体_GB2312" w:eastAsia="楷体_GB2312" w:cs="楷体_GB2312"/>
          <w:b/>
          <w:bCs/>
          <w:sz w:val="32"/>
          <w:szCs w:val="32"/>
          <w:lang w:eastAsia="zh-CN"/>
        </w:rPr>
        <w:t>工作</w:t>
      </w:r>
    </w:p>
    <w:tbl>
      <w:tblPr>
        <w:tblStyle w:val="6"/>
        <w:tblW w:w="8529" w:type="dxa"/>
        <w:tblInd w:w="108" w:type="dxa"/>
        <w:tblLayout w:type="fixed"/>
        <w:tblCellMar>
          <w:top w:w="0" w:type="dxa"/>
          <w:left w:w="108" w:type="dxa"/>
          <w:bottom w:w="0" w:type="dxa"/>
          <w:right w:w="108" w:type="dxa"/>
        </w:tblCellMar>
      </w:tblPr>
      <w:tblGrid>
        <w:gridCol w:w="3746"/>
        <w:gridCol w:w="932"/>
        <w:gridCol w:w="1276"/>
        <w:gridCol w:w="1276"/>
        <w:gridCol w:w="1299"/>
      </w:tblGrid>
      <w:tr>
        <w:tblPrEx>
          <w:tblLayout w:type="fixed"/>
          <w:tblCellMar>
            <w:top w:w="0" w:type="dxa"/>
            <w:left w:w="108" w:type="dxa"/>
            <w:bottom w:w="0" w:type="dxa"/>
            <w:right w:w="108" w:type="dxa"/>
          </w:tblCellMar>
        </w:tblPrEx>
        <w:trPr>
          <w:trHeight w:val="353" w:hRule="atLeast"/>
        </w:trPr>
        <w:tc>
          <w:tcPr>
            <w:tcW w:w="3746" w:type="dxa"/>
            <w:tcBorders>
              <w:top w:val="single" w:color="auto" w:sz="8" w:space="0"/>
              <w:left w:val="nil"/>
              <w:bottom w:val="single" w:color="auto" w:sz="8" w:space="0"/>
              <w:right w:val="single" w:color="auto" w:sz="8" w:space="0"/>
            </w:tcBorders>
            <w:vAlign w:val="center"/>
          </w:tcPr>
          <w:p>
            <w:pPr>
              <w:widowControl/>
              <w:jc w:val="center"/>
              <w:rPr>
                <w:rFonts w:hint="eastAsia" w:ascii="仿宋_GB2312" w:hAnsi="仿宋_GB2312" w:eastAsia="仿宋_GB2312" w:cs="仿宋_GB2312"/>
                <w:b/>
                <w:bCs/>
                <w:color w:val="000000"/>
                <w:kern w:val="0"/>
                <w:sz w:val="24"/>
                <w:szCs w:val="24"/>
              </w:rPr>
            </w:pPr>
            <w:r>
              <w:rPr>
                <w:rFonts w:hint="eastAsia" w:ascii="仿宋_GB2312" w:hAnsi="仿宋_GB2312" w:eastAsia="仿宋_GB2312" w:cs="仿宋_GB2312"/>
                <w:b/>
                <w:bCs/>
                <w:color w:val="000000"/>
                <w:kern w:val="0"/>
                <w:sz w:val="24"/>
                <w:szCs w:val="24"/>
              </w:rPr>
              <w:t>指      标</w:t>
            </w:r>
          </w:p>
        </w:tc>
        <w:tc>
          <w:tcPr>
            <w:tcW w:w="932" w:type="dxa"/>
            <w:tcBorders>
              <w:top w:val="single" w:color="auto" w:sz="8" w:space="0"/>
              <w:left w:val="nil"/>
              <w:bottom w:val="single" w:color="auto" w:sz="8" w:space="0"/>
              <w:right w:val="single" w:color="auto" w:sz="8" w:space="0"/>
            </w:tcBorders>
            <w:vAlign w:val="center"/>
          </w:tcPr>
          <w:p>
            <w:pPr>
              <w:widowControl/>
              <w:jc w:val="center"/>
              <w:rPr>
                <w:rFonts w:hint="eastAsia" w:ascii="仿宋_GB2312" w:hAnsi="仿宋_GB2312" w:eastAsia="仿宋_GB2312" w:cs="仿宋_GB2312"/>
                <w:b/>
                <w:bCs/>
                <w:color w:val="000000"/>
                <w:kern w:val="0"/>
                <w:sz w:val="24"/>
                <w:szCs w:val="24"/>
              </w:rPr>
            </w:pPr>
            <w:r>
              <w:rPr>
                <w:rFonts w:hint="eastAsia" w:ascii="仿宋_GB2312" w:hAnsi="仿宋_GB2312" w:eastAsia="仿宋_GB2312" w:cs="仿宋_GB2312"/>
                <w:b/>
                <w:bCs/>
                <w:color w:val="000000"/>
                <w:kern w:val="0"/>
                <w:sz w:val="24"/>
                <w:szCs w:val="24"/>
              </w:rPr>
              <w:t>单 位</w:t>
            </w:r>
          </w:p>
        </w:tc>
        <w:tc>
          <w:tcPr>
            <w:tcW w:w="1276" w:type="dxa"/>
            <w:tcBorders>
              <w:top w:val="single" w:color="auto" w:sz="8" w:space="0"/>
              <w:left w:val="nil"/>
              <w:bottom w:val="single" w:color="auto" w:sz="8" w:space="0"/>
              <w:right w:val="single" w:color="auto" w:sz="8" w:space="0"/>
            </w:tcBorders>
            <w:vAlign w:val="center"/>
          </w:tcPr>
          <w:p>
            <w:pPr>
              <w:widowControl/>
              <w:jc w:val="center"/>
              <w:rPr>
                <w:rFonts w:hint="eastAsia" w:ascii="仿宋_GB2312" w:hAnsi="仿宋_GB2312" w:eastAsia="仿宋_GB2312" w:cs="仿宋_GB2312"/>
                <w:b/>
                <w:bCs/>
                <w:color w:val="000000"/>
                <w:kern w:val="0"/>
                <w:sz w:val="24"/>
                <w:szCs w:val="24"/>
              </w:rPr>
            </w:pPr>
            <w:r>
              <w:rPr>
                <w:rFonts w:hint="eastAsia" w:ascii="仿宋_GB2312" w:hAnsi="仿宋_GB2312" w:eastAsia="仿宋_GB2312" w:cs="仿宋_GB2312"/>
                <w:b/>
                <w:bCs/>
                <w:color w:val="000000"/>
                <w:kern w:val="0"/>
                <w:sz w:val="24"/>
                <w:szCs w:val="24"/>
              </w:rPr>
              <w:t>数    量</w:t>
            </w:r>
          </w:p>
        </w:tc>
        <w:tc>
          <w:tcPr>
            <w:tcW w:w="1276" w:type="dxa"/>
            <w:tcBorders>
              <w:top w:val="single" w:color="auto" w:sz="8" w:space="0"/>
              <w:left w:val="nil"/>
              <w:bottom w:val="single" w:color="auto" w:sz="8" w:space="0"/>
              <w:right w:val="single" w:color="auto" w:sz="8" w:space="0"/>
            </w:tcBorders>
            <w:vAlign w:val="center"/>
          </w:tcPr>
          <w:p>
            <w:pPr>
              <w:widowControl/>
              <w:jc w:val="right"/>
              <w:rPr>
                <w:rFonts w:hint="eastAsia" w:ascii="仿宋_GB2312" w:hAnsi="仿宋_GB2312" w:eastAsia="仿宋_GB2312" w:cs="仿宋_GB2312"/>
                <w:b/>
                <w:bCs/>
                <w:color w:val="000000"/>
                <w:kern w:val="0"/>
                <w:sz w:val="24"/>
                <w:szCs w:val="24"/>
              </w:rPr>
            </w:pPr>
            <w:r>
              <w:rPr>
                <w:rFonts w:hint="eastAsia" w:ascii="仿宋_GB2312" w:hAnsi="仿宋_GB2312" w:eastAsia="仿宋_GB2312" w:cs="仿宋_GB2312"/>
                <w:b/>
                <w:bCs/>
                <w:color w:val="000000"/>
                <w:kern w:val="0"/>
                <w:sz w:val="24"/>
                <w:szCs w:val="24"/>
              </w:rPr>
              <w:t>环比（%）</w:t>
            </w:r>
          </w:p>
        </w:tc>
        <w:tc>
          <w:tcPr>
            <w:tcW w:w="1299" w:type="dxa"/>
            <w:tcBorders>
              <w:top w:val="single" w:color="auto" w:sz="8" w:space="0"/>
              <w:left w:val="nil"/>
              <w:bottom w:val="single" w:color="auto" w:sz="8" w:space="0"/>
              <w:right w:val="nil"/>
            </w:tcBorders>
            <w:vAlign w:val="center"/>
          </w:tcPr>
          <w:p>
            <w:pPr>
              <w:widowControl/>
              <w:jc w:val="right"/>
              <w:rPr>
                <w:rFonts w:hint="eastAsia" w:ascii="仿宋_GB2312" w:hAnsi="仿宋_GB2312" w:eastAsia="仿宋_GB2312" w:cs="仿宋_GB2312"/>
                <w:b/>
                <w:bCs/>
                <w:color w:val="000000"/>
                <w:kern w:val="0"/>
                <w:sz w:val="24"/>
                <w:szCs w:val="24"/>
              </w:rPr>
            </w:pPr>
            <w:r>
              <w:rPr>
                <w:rFonts w:hint="eastAsia" w:ascii="仿宋_GB2312" w:hAnsi="仿宋_GB2312" w:eastAsia="仿宋_GB2312" w:cs="仿宋_GB2312"/>
                <w:b/>
                <w:bCs/>
                <w:color w:val="000000"/>
                <w:kern w:val="0"/>
                <w:sz w:val="24"/>
                <w:szCs w:val="24"/>
              </w:rPr>
              <w:t>同比（％）</w:t>
            </w:r>
          </w:p>
        </w:tc>
      </w:tr>
      <w:tr>
        <w:tblPrEx>
          <w:tblLayout w:type="fixed"/>
          <w:tblCellMar>
            <w:top w:w="0" w:type="dxa"/>
            <w:left w:w="108" w:type="dxa"/>
            <w:bottom w:w="0" w:type="dxa"/>
            <w:right w:w="108" w:type="dxa"/>
          </w:tblCellMar>
        </w:tblPrEx>
        <w:trPr>
          <w:trHeight w:val="369" w:hRule="atLeast"/>
        </w:trPr>
        <w:tc>
          <w:tcPr>
            <w:tcW w:w="3746" w:type="dxa"/>
            <w:tcBorders>
              <w:top w:val="nil"/>
              <w:left w:val="nil"/>
              <w:bottom w:val="nil"/>
              <w:right w:val="single" w:color="auto" w:sz="8" w:space="0"/>
            </w:tcBorders>
            <w:vAlign w:val="center"/>
          </w:tcPr>
          <w:p>
            <w:pPr>
              <w:widowControl/>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提供住宿</w:t>
            </w:r>
            <w:r>
              <w:rPr>
                <w:rFonts w:hint="eastAsia" w:ascii="仿宋_GB2312" w:hAnsi="仿宋_GB2312" w:eastAsia="仿宋_GB2312" w:cs="仿宋_GB2312"/>
                <w:color w:val="000000"/>
                <w:kern w:val="0"/>
                <w:sz w:val="24"/>
                <w:szCs w:val="24"/>
                <w:lang w:eastAsia="zh-CN"/>
              </w:rPr>
              <w:t>的民政</w:t>
            </w:r>
            <w:r>
              <w:rPr>
                <w:rFonts w:hint="eastAsia" w:ascii="仿宋_GB2312" w:hAnsi="仿宋_GB2312" w:eastAsia="仿宋_GB2312" w:cs="仿宋_GB2312"/>
                <w:color w:val="000000"/>
                <w:kern w:val="0"/>
                <w:sz w:val="24"/>
                <w:szCs w:val="24"/>
              </w:rPr>
              <w:t>机构数</w:t>
            </w:r>
          </w:p>
        </w:tc>
        <w:tc>
          <w:tcPr>
            <w:tcW w:w="932" w:type="dxa"/>
            <w:tcBorders>
              <w:top w:val="nil"/>
              <w:left w:val="nil"/>
              <w:bottom w:val="nil"/>
              <w:right w:val="single" w:color="auto" w:sz="8" w:space="0"/>
            </w:tcBorders>
            <w:vAlign w:val="center"/>
          </w:tcPr>
          <w:p>
            <w:pPr>
              <w:widowControl/>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个</w:t>
            </w:r>
          </w:p>
        </w:tc>
        <w:tc>
          <w:tcPr>
            <w:tcW w:w="1276" w:type="dxa"/>
            <w:tcBorders>
              <w:top w:val="nil"/>
              <w:left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szCs w:val="24"/>
                <w:lang w:val="en-US" w:eastAsia="zh-CN"/>
              </w:rPr>
            </w:pPr>
            <w:r>
              <w:rPr>
                <w:rFonts w:hint="eastAsia" w:ascii="宋体" w:hAnsi="宋体" w:eastAsia="宋体" w:cs="宋体"/>
                <w:i w:val="0"/>
                <w:color w:val="000000"/>
                <w:kern w:val="0"/>
                <w:sz w:val="22"/>
                <w:szCs w:val="22"/>
                <w:u w:val="none"/>
                <w:lang w:val="en-US" w:eastAsia="zh-CN" w:bidi="ar"/>
              </w:rPr>
              <w:t>1,070</w:t>
            </w:r>
          </w:p>
        </w:tc>
        <w:tc>
          <w:tcPr>
            <w:tcW w:w="1276" w:type="dxa"/>
            <w:tcBorders>
              <w:top w:val="nil"/>
              <w:left w:val="nil"/>
              <w:right w:val="nil"/>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kern w:val="0"/>
                <w:sz w:val="24"/>
                <w:szCs w:val="24"/>
                <w:lang w:val="en-US" w:eastAsia="zh-CN"/>
              </w:rPr>
            </w:pPr>
            <w:r>
              <w:rPr>
                <w:rFonts w:hint="default" w:ascii="Arial" w:hAnsi="Arial" w:eastAsia="宋体" w:cs="Arial"/>
                <w:i w:val="0"/>
                <w:color w:val="000000"/>
                <w:kern w:val="0"/>
                <w:sz w:val="20"/>
                <w:szCs w:val="20"/>
                <w:u w:val="none"/>
                <w:lang w:val="en-US" w:eastAsia="zh-CN" w:bidi="ar"/>
              </w:rPr>
              <w:t>-1.38</w:t>
            </w:r>
          </w:p>
        </w:tc>
        <w:tc>
          <w:tcPr>
            <w:tcW w:w="1299" w:type="dxa"/>
            <w:tcBorders>
              <w:top w:val="nil"/>
              <w:left w:val="nil"/>
              <w:right w:val="nil"/>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kern w:val="0"/>
                <w:sz w:val="24"/>
                <w:szCs w:val="24"/>
                <w:lang w:val="en-US" w:eastAsia="zh-CN"/>
              </w:rPr>
            </w:pPr>
            <w:r>
              <w:rPr>
                <w:rFonts w:hint="default" w:ascii="Arial" w:hAnsi="Arial" w:eastAsia="宋体" w:cs="Arial"/>
                <w:i w:val="0"/>
                <w:color w:val="000000"/>
                <w:kern w:val="0"/>
                <w:sz w:val="20"/>
                <w:szCs w:val="20"/>
                <w:u w:val="none"/>
                <w:lang w:val="en-US" w:eastAsia="zh-CN" w:bidi="ar"/>
              </w:rPr>
              <w:t>0.66</w:t>
            </w:r>
          </w:p>
        </w:tc>
      </w:tr>
      <w:tr>
        <w:tblPrEx>
          <w:tblLayout w:type="fixed"/>
          <w:tblCellMar>
            <w:top w:w="0" w:type="dxa"/>
            <w:left w:w="108" w:type="dxa"/>
            <w:bottom w:w="0" w:type="dxa"/>
            <w:right w:w="108" w:type="dxa"/>
          </w:tblCellMar>
        </w:tblPrEx>
        <w:trPr>
          <w:trHeight w:val="415" w:hRule="atLeast"/>
        </w:trPr>
        <w:tc>
          <w:tcPr>
            <w:tcW w:w="3746" w:type="dxa"/>
            <w:tcBorders>
              <w:top w:val="nil"/>
              <w:left w:val="nil"/>
              <w:bottom w:val="single" w:color="auto" w:sz="8" w:space="0"/>
              <w:right w:val="single" w:color="auto" w:sz="8" w:space="0"/>
            </w:tcBorders>
            <w:vAlign w:val="center"/>
          </w:tcPr>
          <w:p>
            <w:pPr>
              <w:widowControl/>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提供住宿的</w:t>
            </w:r>
            <w:r>
              <w:rPr>
                <w:rFonts w:hint="eastAsia" w:ascii="仿宋_GB2312" w:hAnsi="仿宋_GB2312" w:eastAsia="仿宋_GB2312" w:cs="仿宋_GB2312"/>
                <w:color w:val="000000"/>
                <w:kern w:val="0"/>
                <w:sz w:val="24"/>
                <w:szCs w:val="24"/>
                <w:lang w:eastAsia="zh-CN"/>
              </w:rPr>
              <w:t>民政</w:t>
            </w:r>
            <w:r>
              <w:rPr>
                <w:rFonts w:hint="eastAsia" w:ascii="仿宋_GB2312" w:hAnsi="仿宋_GB2312" w:eastAsia="仿宋_GB2312" w:cs="仿宋_GB2312"/>
                <w:color w:val="000000"/>
                <w:kern w:val="0"/>
                <w:sz w:val="24"/>
                <w:szCs w:val="24"/>
              </w:rPr>
              <w:t>机构床位数</w:t>
            </w:r>
          </w:p>
        </w:tc>
        <w:tc>
          <w:tcPr>
            <w:tcW w:w="932" w:type="dxa"/>
            <w:tcBorders>
              <w:top w:val="nil"/>
              <w:left w:val="nil"/>
              <w:bottom w:val="single" w:color="auto" w:sz="8" w:space="0"/>
              <w:right w:val="single" w:color="auto" w:sz="8" w:space="0"/>
            </w:tcBorders>
            <w:vAlign w:val="center"/>
          </w:tcPr>
          <w:p>
            <w:pPr>
              <w:widowControl/>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张</w:t>
            </w:r>
          </w:p>
        </w:tc>
        <w:tc>
          <w:tcPr>
            <w:tcW w:w="1276" w:type="dxa"/>
            <w:tcBorders>
              <w:top w:val="nil"/>
              <w:left w:val="nil"/>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szCs w:val="24"/>
                <w:lang w:val="en-US" w:eastAsia="zh-CN"/>
              </w:rPr>
            </w:pPr>
            <w:r>
              <w:rPr>
                <w:rFonts w:hint="eastAsia" w:ascii="宋体" w:hAnsi="宋体" w:eastAsia="宋体" w:cs="宋体"/>
                <w:i w:val="0"/>
                <w:color w:val="000000"/>
                <w:kern w:val="0"/>
                <w:sz w:val="22"/>
                <w:szCs w:val="22"/>
                <w:u w:val="none"/>
                <w:lang w:val="en-US" w:eastAsia="zh-CN" w:bidi="ar"/>
              </w:rPr>
              <w:t>94578</w:t>
            </w:r>
          </w:p>
        </w:tc>
        <w:tc>
          <w:tcPr>
            <w:tcW w:w="1276" w:type="dxa"/>
            <w:tcBorders>
              <w:top w:val="nil"/>
              <w:left w:val="nil"/>
              <w:bottom w:val="single" w:color="auto" w:sz="4" w:space="0"/>
              <w:right w:val="nil"/>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-1.08 </w:t>
            </w:r>
          </w:p>
        </w:tc>
        <w:tc>
          <w:tcPr>
            <w:tcW w:w="1299" w:type="dxa"/>
            <w:tcBorders>
              <w:top w:val="nil"/>
              <w:left w:val="nil"/>
              <w:bottom w:val="single" w:color="auto" w:sz="4" w:space="0"/>
              <w:right w:val="nil"/>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2.97 </w:t>
            </w:r>
          </w:p>
        </w:tc>
      </w:tr>
    </w:tbl>
    <w:p>
      <w:pPr>
        <w:ind w:right="359" w:rightChars="171"/>
        <w:rPr>
          <w:rFonts w:hint="eastAsia" w:ascii="仿宋_GB2312" w:eastAsia="仿宋_GB2312"/>
          <w:sz w:val="24"/>
        </w:rPr>
      </w:pPr>
    </w:p>
    <w:p>
      <w:pPr>
        <w:ind w:left="-359" w:leftChars="-171" w:right="359" w:rightChars="171" w:firstLine="480" w:firstLineChars="200"/>
        <w:rPr>
          <w:rFonts w:hint="eastAsia" w:ascii="仿宋_GB2312" w:hAnsi="仿宋" w:eastAsia="仿宋_GB2312"/>
          <w:sz w:val="24"/>
        </w:rPr>
      </w:pPr>
      <w:r>
        <w:rPr>
          <w:rFonts w:hint="eastAsia" w:ascii="仿宋_GB2312" w:hAnsi="仿宋" w:eastAsia="仿宋_GB2312"/>
          <w:sz w:val="24"/>
          <w:lang w:eastAsia="zh-CN"/>
        </w:rPr>
        <w:t>2021年</w:t>
      </w:r>
      <w:r>
        <w:rPr>
          <w:rFonts w:hint="eastAsia" w:ascii="仿宋_GB2312" w:hAnsi="仿宋" w:eastAsia="仿宋_GB2312"/>
          <w:sz w:val="24"/>
          <w:lang w:val="en-US" w:eastAsia="zh-CN"/>
        </w:rPr>
        <w:t>9月底</w:t>
      </w:r>
      <w:r>
        <w:rPr>
          <w:rFonts w:hint="eastAsia" w:ascii="仿宋_GB2312" w:hAnsi="仿宋" w:eastAsia="仿宋_GB2312"/>
          <w:sz w:val="24"/>
        </w:rPr>
        <w:t>，全</w:t>
      </w:r>
      <w:r>
        <w:rPr>
          <w:rFonts w:hint="eastAsia" w:ascii="仿宋_GB2312" w:hAnsi="仿宋" w:eastAsia="仿宋_GB2312"/>
          <w:sz w:val="24"/>
          <w:lang w:eastAsia="zh-CN"/>
        </w:rPr>
        <w:t>省</w:t>
      </w:r>
      <w:r>
        <w:rPr>
          <w:rFonts w:hint="eastAsia" w:ascii="仿宋_GB2312" w:hAnsi="仿宋" w:eastAsia="仿宋_GB2312"/>
          <w:sz w:val="24"/>
        </w:rPr>
        <w:t>共有提供住宿的</w:t>
      </w:r>
      <w:r>
        <w:rPr>
          <w:rFonts w:hint="eastAsia" w:ascii="仿宋_GB2312" w:hAnsi="仿宋" w:eastAsia="仿宋_GB2312"/>
          <w:sz w:val="24"/>
          <w:lang w:eastAsia="zh-CN"/>
        </w:rPr>
        <w:t>民政</w:t>
      </w:r>
      <w:r>
        <w:rPr>
          <w:rFonts w:hint="eastAsia" w:ascii="仿宋_GB2312" w:hAnsi="仿宋" w:eastAsia="仿宋_GB2312"/>
          <w:sz w:val="24"/>
        </w:rPr>
        <w:t>机构数</w:t>
      </w:r>
      <w:r>
        <w:rPr>
          <w:rFonts w:hint="eastAsia" w:ascii="仿宋_GB2312" w:hAnsi="仿宋" w:eastAsia="仿宋_GB2312"/>
          <w:sz w:val="24"/>
          <w:lang w:val="en-US" w:eastAsia="zh-CN"/>
        </w:rPr>
        <w:t>1070</w:t>
      </w:r>
      <w:r>
        <w:rPr>
          <w:rFonts w:hint="eastAsia" w:ascii="仿宋_GB2312" w:hAnsi="仿宋" w:eastAsia="仿宋_GB2312"/>
          <w:sz w:val="24"/>
        </w:rPr>
        <w:t>个。</w:t>
      </w:r>
      <w:r>
        <w:rPr>
          <w:rFonts w:hint="eastAsia" w:ascii="仿宋_GB2312" w:hAnsi="仿宋" w:eastAsia="仿宋_GB2312"/>
          <w:sz w:val="24"/>
          <w:lang w:eastAsia="zh-CN"/>
        </w:rPr>
        <w:t>比2021年</w:t>
      </w:r>
      <w:r>
        <w:rPr>
          <w:rFonts w:hint="eastAsia" w:ascii="仿宋_GB2312" w:hAnsi="仿宋" w:eastAsia="仿宋_GB2312"/>
          <w:sz w:val="24"/>
          <w:lang w:val="en-US" w:eastAsia="zh-CN"/>
        </w:rPr>
        <w:t>2</w:t>
      </w:r>
      <w:r>
        <w:rPr>
          <w:rFonts w:hint="eastAsia" w:ascii="仿宋_GB2312" w:hAnsi="仿宋" w:eastAsia="仿宋_GB2312"/>
          <w:sz w:val="24"/>
        </w:rPr>
        <w:t>季度</w:t>
      </w:r>
      <w:r>
        <w:rPr>
          <w:rFonts w:hint="eastAsia" w:ascii="仿宋_GB2312" w:hAnsi="仿宋" w:eastAsia="仿宋_GB2312"/>
          <w:sz w:val="24"/>
          <w:lang w:eastAsia="zh-CN"/>
        </w:rPr>
        <w:t>下降</w:t>
      </w:r>
      <w:r>
        <w:rPr>
          <w:rFonts w:hint="eastAsia" w:ascii="仿宋_GB2312" w:hAnsi="仿宋" w:eastAsia="仿宋_GB2312"/>
          <w:sz w:val="24"/>
          <w:lang w:val="en-US" w:eastAsia="zh-CN"/>
        </w:rPr>
        <w:t>1.38%</w:t>
      </w:r>
      <w:r>
        <w:rPr>
          <w:rFonts w:hint="eastAsia" w:ascii="仿宋_GB2312" w:hAnsi="仿宋" w:eastAsia="仿宋_GB2312"/>
          <w:sz w:val="24"/>
        </w:rPr>
        <w:t>，比上年同期同比</w:t>
      </w:r>
      <w:r>
        <w:rPr>
          <w:rFonts w:hint="eastAsia" w:ascii="仿宋_GB2312" w:hAnsi="仿宋" w:eastAsia="仿宋_GB2312"/>
          <w:sz w:val="24"/>
          <w:lang w:eastAsia="zh-CN"/>
        </w:rPr>
        <w:t>增长</w:t>
      </w:r>
      <w:r>
        <w:rPr>
          <w:rFonts w:hint="eastAsia" w:ascii="仿宋_GB2312" w:hAnsi="仿宋" w:eastAsia="仿宋_GB2312"/>
          <w:sz w:val="24"/>
          <w:lang w:val="en-US" w:eastAsia="zh-CN"/>
        </w:rPr>
        <w:t>0.66</w:t>
      </w:r>
      <w:r>
        <w:rPr>
          <w:rFonts w:hint="eastAsia" w:ascii="仿宋_GB2312" w:hAnsi="仿宋" w:eastAsia="仿宋_GB2312"/>
          <w:sz w:val="24"/>
        </w:rPr>
        <w:t>%;床位数</w:t>
      </w:r>
      <w:r>
        <w:rPr>
          <w:rFonts w:hint="eastAsia" w:ascii="宋体" w:hAnsi="宋体" w:eastAsia="宋体" w:cs="宋体"/>
          <w:i w:val="0"/>
          <w:color w:val="000000"/>
          <w:kern w:val="0"/>
          <w:sz w:val="22"/>
          <w:szCs w:val="22"/>
          <w:u w:val="none"/>
          <w:lang w:val="en-US" w:eastAsia="zh-CN" w:bidi="ar"/>
        </w:rPr>
        <w:t>94578</w:t>
      </w:r>
      <w:r>
        <w:rPr>
          <w:rFonts w:hint="eastAsia" w:ascii="仿宋_GB2312" w:hAnsi="仿宋" w:eastAsia="仿宋_GB2312"/>
          <w:sz w:val="24"/>
        </w:rPr>
        <w:t>张, 比</w:t>
      </w:r>
      <w:r>
        <w:rPr>
          <w:rFonts w:hint="eastAsia" w:ascii="仿宋_GB2312" w:hAnsi="仿宋" w:eastAsia="仿宋_GB2312"/>
          <w:sz w:val="24"/>
          <w:lang w:eastAsia="zh-CN"/>
        </w:rPr>
        <w:t>2021年</w:t>
      </w:r>
      <w:r>
        <w:rPr>
          <w:rFonts w:hint="eastAsia" w:ascii="仿宋_GB2312" w:hAnsi="仿宋" w:eastAsia="仿宋_GB2312"/>
          <w:sz w:val="24"/>
          <w:lang w:val="en-US" w:eastAsia="zh-CN"/>
        </w:rPr>
        <w:t>2</w:t>
      </w:r>
      <w:r>
        <w:rPr>
          <w:rFonts w:hint="eastAsia" w:ascii="仿宋_GB2312" w:hAnsi="仿宋" w:eastAsia="仿宋_GB2312"/>
          <w:sz w:val="24"/>
        </w:rPr>
        <w:t>季度</w:t>
      </w:r>
      <w:r>
        <w:rPr>
          <w:rFonts w:hint="eastAsia" w:ascii="仿宋_GB2312" w:hAnsi="仿宋" w:eastAsia="仿宋_GB2312"/>
          <w:sz w:val="24"/>
          <w:lang w:eastAsia="zh-CN"/>
        </w:rPr>
        <w:t>下降</w:t>
      </w:r>
      <w:r>
        <w:rPr>
          <w:rFonts w:hint="eastAsia" w:ascii="仿宋_GB2312" w:hAnsi="仿宋" w:eastAsia="仿宋_GB2312"/>
          <w:sz w:val="24"/>
          <w:lang w:val="en-US" w:eastAsia="zh-CN"/>
        </w:rPr>
        <w:t>1.08</w:t>
      </w:r>
      <w:r>
        <w:rPr>
          <w:rFonts w:hint="eastAsia" w:ascii="仿宋_GB2312" w:hAnsi="仿宋" w:eastAsia="仿宋_GB2312"/>
          <w:sz w:val="24"/>
        </w:rPr>
        <w:t>%，比上年同期同比</w:t>
      </w:r>
      <w:r>
        <w:rPr>
          <w:rFonts w:hint="eastAsia" w:ascii="仿宋_GB2312" w:hAnsi="仿宋" w:eastAsia="仿宋_GB2312"/>
          <w:sz w:val="24"/>
          <w:lang w:eastAsia="zh-CN"/>
        </w:rPr>
        <w:t>增长</w:t>
      </w:r>
      <w:r>
        <w:rPr>
          <w:rFonts w:hint="eastAsia" w:ascii="仿宋_GB2312" w:hAnsi="仿宋" w:eastAsia="仿宋_GB2312"/>
          <w:sz w:val="24"/>
          <w:lang w:val="en-US" w:eastAsia="zh-CN"/>
        </w:rPr>
        <w:t>2.97</w:t>
      </w:r>
      <w:r>
        <w:rPr>
          <w:rFonts w:hint="eastAsia" w:ascii="仿宋_GB2312" w:hAnsi="仿宋" w:eastAsia="仿宋_GB2312"/>
          <w:sz w:val="24"/>
        </w:rPr>
        <w:t>%。</w:t>
      </w:r>
    </w:p>
    <w:p>
      <w:pPr>
        <w:ind w:left="-359" w:leftChars="-171" w:right="359" w:rightChars="171" w:firstLine="480" w:firstLineChars="200"/>
        <w:rPr>
          <w:rFonts w:hint="default" w:ascii="仿宋_GB2312" w:hAnsi="仿宋" w:eastAsia="仿宋_GB2312"/>
          <w:sz w:val="24"/>
          <w:lang w:val="en-US" w:eastAsia="zh-CN"/>
        </w:rPr>
      </w:pPr>
    </w:p>
    <w:p>
      <w:pPr>
        <w:spacing w:line="480" w:lineRule="auto"/>
        <w:ind w:right="359" w:rightChars="171"/>
        <w:rPr>
          <w:rFonts w:hint="eastAsia" w:ascii="宋体" w:hAnsi="宋体"/>
          <w:sz w:val="28"/>
          <w:szCs w:val="28"/>
        </w:rPr>
      </w:pPr>
      <w:r>
        <w:rPr>
          <w:rFonts w:hint="eastAsia" w:ascii="宋体" w:hAnsi="宋体"/>
          <w:sz w:val="28"/>
          <w:szCs w:val="28"/>
        </w:rPr>
        <w:t xml:space="preserve">   </w:t>
      </w:r>
      <w:r>
        <w:rPr>
          <w:rFonts w:hint="eastAsia" w:ascii="楷体_GB2312" w:hAnsi="楷体_GB2312" w:eastAsia="楷体_GB2312" w:cs="楷体_GB2312"/>
          <w:sz w:val="28"/>
          <w:szCs w:val="28"/>
        </w:rPr>
        <w:t>1.</w:t>
      </w:r>
      <w:bookmarkStart w:id="0" w:name="_Hlk508271142"/>
      <w:r>
        <w:rPr>
          <w:rFonts w:hint="eastAsia" w:ascii="楷体_GB2312" w:hAnsi="楷体_GB2312" w:eastAsia="楷体_GB2312" w:cs="楷体_GB2312"/>
          <w:sz w:val="28"/>
          <w:szCs w:val="28"/>
          <w:lang w:eastAsia="zh-CN"/>
        </w:rPr>
        <w:t>养老</w:t>
      </w:r>
      <w:r>
        <w:rPr>
          <w:rFonts w:hint="eastAsia" w:ascii="楷体_GB2312" w:hAnsi="楷体_GB2312" w:eastAsia="楷体_GB2312" w:cs="楷体_GB2312"/>
          <w:sz w:val="28"/>
          <w:szCs w:val="28"/>
        </w:rPr>
        <w:t>机构</w:t>
      </w:r>
      <w:bookmarkEnd w:id="0"/>
    </w:p>
    <w:tbl>
      <w:tblPr>
        <w:tblStyle w:val="6"/>
        <w:tblW w:w="8647" w:type="dxa"/>
        <w:tblInd w:w="108" w:type="dxa"/>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
      <w:tblGrid>
        <w:gridCol w:w="3544"/>
        <w:gridCol w:w="1134"/>
        <w:gridCol w:w="1276"/>
        <w:gridCol w:w="1276"/>
        <w:gridCol w:w="1417"/>
      </w:tblGrid>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285" w:hRule="atLeast"/>
        </w:trPr>
        <w:tc>
          <w:tcPr>
            <w:tcW w:w="3544" w:type="dxa"/>
            <w:tcBorders>
              <w:top w:val="single" w:color="auto" w:sz="4" w:space="0"/>
              <w:bottom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指      标</w:t>
            </w:r>
          </w:p>
        </w:tc>
        <w:tc>
          <w:tcPr>
            <w:tcW w:w="1134" w:type="dxa"/>
            <w:tcBorders>
              <w:top w:val="single" w:color="auto" w:sz="4" w:space="0"/>
              <w:bottom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单 位</w:t>
            </w:r>
          </w:p>
        </w:tc>
        <w:tc>
          <w:tcPr>
            <w:tcW w:w="1276" w:type="dxa"/>
            <w:tcBorders>
              <w:top w:val="single" w:color="auto" w:sz="4" w:space="0"/>
              <w:bottom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数量</w:t>
            </w:r>
          </w:p>
        </w:tc>
        <w:tc>
          <w:tcPr>
            <w:tcW w:w="1276" w:type="dxa"/>
            <w:tcBorders>
              <w:top w:val="single" w:color="auto" w:sz="4" w:space="0"/>
              <w:bottom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环比（%）</w:t>
            </w:r>
          </w:p>
        </w:tc>
        <w:tc>
          <w:tcPr>
            <w:tcW w:w="1417" w:type="dxa"/>
            <w:tcBorders>
              <w:top w:val="single" w:color="auto" w:sz="4" w:space="0"/>
              <w:bottom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同比（%）</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285" w:hRule="atLeast"/>
        </w:trPr>
        <w:tc>
          <w:tcPr>
            <w:tcW w:w="3544" w:type="dxa"/>
            <w:tcBorders>
              <w:top w:val="single" w:color="auto" w:sz="4" w:space="0"/>
            </w:tcBorders>
            <w:vAlign w:val="center"/>
          </w:tcPr>
          <w:p>
            <w:pPr>
              <w:widowControl/>
              <w:jc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bCs/>
                <w:kern w:val="0"/>
                <w:sz w:val="24"/>
                <w:szCs w:val="24"/>
                <w:lang w:eastAsia="zh-CN"/>
              </w:rPr>
              <w:t>养老</w:t>
            </w:r>
            <w:r>
              <w:rPr>
                <w:rFonts w:hint="eastAsia" w:ascii="仿宋_GB2312" w:hAnsi="仿宋_GB2312" w:eastAsia="仿宋_GB2312" w:cs="仿宋_GB2312"/>
                <w:bCs/>
                <w:kern w:val="0"/>
                <w:sz w:val="24"/>
                <w:szCs w:val="24"/>
              </w:rPr>
              <w:t>机构</w:t>
            </w:r>
          </w:p>
        </w:tc>
        <w:tc>
          <w:tcPr>
            <w:tcW w:w="1134" w:type="dxa"/>
            <w:tcBorders>
              <w:top w:val="single" w:color="auto" w:sz="4" w:space="0"/>
              <w:right w:val="single" w:color="auto" w:sz="4" w:space="0"/>
            </w:tcBorders>
            <w:vAlign w:val="center"/>
          </w:tcPr>
          <w:p>
            <w:pPr>
              <w:widowControl/>
              <w:jc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bCs/>
                <w:kern w:val="0"/>
                <w:sz w:val="24"/>
                <w:szCs w:val="24"/>
              </w:rPr>
              <w:t>个</w:t>
            </w:r>
          </w:p>
        </w:tc>
        <w:tc>
          <w:tcPr>
            <w:tcW w:w="1276" w:type="dxa"/>
            <w:tcBorders>
              <w:top w:val="single" w:color="auto" w:sz="4" w:space="0"/>
              <w:left w:val="single" w:color="auto" w:sz="4" w:space="0"/>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bCs/>
                <w:kern w:val="0"/>
                <w:sz w:val="24"/>
                <w:szCs w:val="24"/>
                <w:lang w:val="en-US" w:eastAsia="zh-CN"/>
              </w:rPr>
            </w:pPr>
            <w:r>
              <w:rPr>
                <w:rFonts w:hint="eastAsia" w:ascii="宋体" w:hAnsi="宋体" w:eastAsia="宋体" w:cs="宋体"/>
                <w:i w:val="0"/>
                <w:color w:val="000000"/>
                <w:kern w:val="0"/>
                <w:sz w:val="22"/>
                <w:szCs w:val="22"/>
                <w:u w:val="none"/>
                <w:lang w:val="en-US" w:eastAsia="zh-CN" w:bidi="ar"/>
              </w:rPr>
              <w:t>970</w:t>
            </w:r>
          </w:p>
        </w:tc>
        <w:tc>
          <w:tcPr>
            <w:tcW w:w="1276" w:type="dxa"/>
            <w:tcBorders>
              <w:top w:val="single" w:color="auto" w:sz="4" w:space="0"/>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bCs/>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-1.32 </w:t>
            </w:r>
          </w:p>
        </w:tc>
        <w:tc>
          <w:tcPr>
            <w:tcW w:w="1417" w:type="dxa"/>
            <w:tcBorders>
              <w:top w:val="single" w:color="auto" w:sz="4" w:space="0"/>
              <w:left w:val="nil"/>
              <w:bottom w:val="nil"/>
            </w:tcBorders>
            <w:vAlign w:val="center"/>
          </w:tcPr>
          <w:p>
            <w:pPr>
              <w:keepNext w:val="0"/>
              <w:keepLines w:val="0"/>
              <w:widowControl/>
              <w:suppressLineNumbers w:val="0"/>
              <w:jc w:val="center"/>
              <w:textAlignment w:val="center"/>
              <w:rPr>
                <w:rFonts w:hint="default" w:ascii="仿宋_GB2312" w:hAnsi="仿宋_GB2312" w:eastAsia="仿宋_GB2312" w:cs="仿宋_GB2312"/>
                <w:bCs/>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1.15 </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285" w:hRule="atLeast"/>
        </w:trPr>
        <w:tc>
          <w:tcPr>
            <w:tcW w:w="3544" w:type="dxa"/>
            <w:vAlign w:val="center"/>
          </w:tcPr>
          <w:p>
            <w:pPr>
              <w:widowControl/>
              <w:jc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bCs/>
                <w:kern w:val="0"/>
                <w:sz w:val="24"/>
                <w:szCs w:val="24"/>
                <w:lang w:eastAsia="zh-CN"/>
              </w:rPr>
              <w:t>养老机构</w:t>
            </w:r>
            <w:r>
              <w:rPr>
                <w:rFonts w:hint="eastAsia" w:ascii="仿宋_GB2312" w:hAnsi="仿宋_GB2312" w:eastAsia="仿宋_GB2312" w:cs="仿宋_GB2312"/>
                <w:bCs/>
                <w:kern w:val="0"/>
                <w:sz w:val="24"/>
                <w:szCs w:val="24"/>
              </w:rPr>
              <w:t>床位数</w:t>
            </w:r>
          </w:p>
        </w:tc>
        <w:tc>
          <w:tcPr>
            <w:tcW w:w="1134" w:type="dxa"/>
            <w:tcBorders>
              <w:right w:val="single" w:color="auto" w:sz="4" w:space="0"/>
            </w:tcBorders>
            <w:vAlign w:val="center"/>
          </w:tcPr>
          <w:p>
            <w:pPr>
              <w:widowControl/>
              <w:jc w:val="center"/>
              <w:rPr>
                <w:rFonts w:hint="eastAsia" w:ascii="仿宋_GB2312" w:hAnsi="仿宋_GB2312" w:eastAsia="仿宋_GB2312" w:cs="仿宋_GB2312"/>
                <w:bCs/>
                <w:kern w:val="0"/>
                <w:sz w:val="24"/>
                <w:szCs w:val="24"/>
              </w:rPr>
            </w:pPr>
            <w:r>
              <w:rPr>
                <w:rFonts w:hint="eastAsia" w:ascii="仿宋_GB2312" w:hAnsi="仿宋_GB2312" w:eastAsia="仿宋_GB2312" w:cs="仿宋_GB2312"/>
                <w:bCs/>
                <w:kern w:val="0"/>
                <w:sz w:val="24"/>
                <w:szCs w:val="24"/>
              </w:rPr>
              <w:t>张</w:t>
            </w:r>
          </w:p>
        </w:tc>
        <w:tc>
          <w:tcPr>
            <w:tcW w:w="1276" w:type="dxa"/>
            <w:tcBorders>
              <w:top w:val="nil"/>
              <w:left w:val="single" w:color="auto" w:sz="4" w:space="0"/>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bCs/>
                <w:kern w:val="0"/>
                <w:sz w:val="24"/>
                <w:szCs w:val="24"/>
                <w:lang w:val="en-US" w:eastAsia="zh-CN"/>
              </w:rPr>
            </w:pPr>
            <w:r>
              <w:rPr>
                <w:rFonts w:hint="eastAsia" w:ascii="宋体" w:hAnsi="宋体" w:eastAsia="宋体" w:cs="宋体"/>
                <w:i w:val="0"/>
                <w:color w:val="000000"/>
                <w:kern w:val="0"/>
                <w:sz w:val="22"/>
                <w:szCs w:val="22"/>
                <w:u w:val="none"/>
                <w:lang w:val="en-US" w:eastAsia="zh-CN" w:bidi="ar"/>
              </w:rPr>
              <w:t>84311</w:t>
            </w:r>
          </w:p>
        </w:tc>
        <w:tc>
          <w:tcPr>
            <w:tcW w:w="1276" w:type="dxa"/>
            <w:tcBorders>
              <w:top w:val="nil"/>
              <w:left w:val="nil"/>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bCs/>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-0.63 </w:t>
            </w:r>
          </w:p>
        </w:tc>
        <w:tc>
          <w:tcPr>
            <w:tcW w:w="1417" w:type="dxa"/>
            <w:tcBorders>
              <w:top w:val="nil"/>
              <w:left w:val="nil"/>
              <w:bottom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bCs/>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3.85 </w:t>
            </w:r>
          </w:p>
        </w:tc>
      </w:tr>
    </w:tbl>
    <w:p>
      <w:pPr>
        <w:ind w:right="359" w:rightChars="171" w:firstLine="480" w:firstLineChars="200"/>
        <w:rPr>
          <w:rFonts w:hint="eastAsia" w:ascii="仿宋_GB2312" w:eastAsia="仿宋_GB2312"/>
          <w:color w:val="000000"/>
          <w:sz w:val="24"/>
        </w:rPr>
      </w:pPr>
    </w:p>
    <w:p>
      <w:pPr>
        <w:ind w:right="359" w:rightChars="171" w:firstLine="480" w:firstLineChars="200"/>
        <w:rPr>
          <w:rFonts w:hint="eastAsia" w:ascii="仿宋_GB2312" w:eastAsia="仿宋_GB2312"/>
          <w:color w:val="000000"/>
          <w:sz w:val="24"/>
        </w:rPr>
      </w:pPr>
      <w:r>
        <w:rPr>
          <w:rFonts w:hint="eastAsia" w:ascii="仿宋_GB2312" w:eastAsia="仿宋_GB2312"/>
          <w:color w:val="000000"/>
          <w:sz w:val="24"/>
          <w:lang w:eastAsia="zh-CN"/>
        </w:rPr>
        <w:t>养老</w:t>
      </w:r>
      <w:r>
        <w:rPr>
          <w:rFonts w:hint="eastAsia" w:ascii="仿宋_GB2312" w:eastAsia="仿宋_GB2312"/>
          <w:color w:val="000000"/>
          <w:sz w:val="24"/>
        </w:rPr>
        <w:t>机构</w:t>
      </w:r>
      <w:r>
        <w:rPr>
          <w:rFonts w:ascii="仿宋_GB2312" w:eastAsia="仿宋_GB2312"/>
          <w:color w:val="000000"/>
          <w:sz w:val="24"/>
        </w:rPr>
        <w:t>数为</w:t>
      </w:r>
      <w:r>
        <w:rPr>
          <w:rFonts w:hint="eastAsia" w:ascii="仿宋_GB2312" w:eastAsia="仿宋_GB2312"/>
          <w:color w:val="000000"/>
          <w:sz w:val="24"/>
          <w:lang w:val="en-US" w:eastAsia="zh-CN"/>
        </w:rPr>
        <w:t>970</w:t>
      </w:r>
      <w:r>
        <w:rPr>
          <w:rFonts w:ascii="仿宋_GB2312" w:eastAsia="仿宋_GB2312"/>
          <w:color w:val="000000"/>
          <w:sz w:val="24"/>
        </w:rPr>
        <w:t>个，比</w:t>
      </w:r>
      <w:r>
        <w:rPr>
          <w:rFonts w:hint="eastAsia" w:ascii="仿宋_GB2312" w:eastAsia="仿宋_GB2312"/>
          <w:color w:val="000000"/>
          <w:sz w:val="24"/>
          <w:lang w:eastAsia="zh-CN"/>
        </w:rPr>
        <w:t>2021年</w:t>
      </w:r>
      <w:r>
        <w:rPr>
          <w:rFonts w:hint="eastAsia" w:ascii="仿宋_GB2312" w:eastAsia="仿宋_GB2312"/>
          <w:color w:val="000000"/>
          <w:sz w:val="24"/>
          <w:lang w:val="en-US" w:eastAsia="zh-CN"/>
        </w:rPr>
        <w:t>2</w:t>
      </w:r>
      <w:r>
        <w:rPr>
          <w:rFonts w:ascii="仿宋_GB2312" w:eastAsia="仿宋_GB2312"/>
          <w:color w:val="000000"/>
          <w:sz w:val="24"/>
        </w:rPr>
        <w:t>季度</w:t>
      </w:r>
      <w:r>
        <w:rPr>
          <w:rFonts w:hint="eastAsia" w:ascii="仿宋_GB2312" w:eastAsia="仿宋_GB2312"/>
          <w:color w:val="000000"/>
          <w:sz w:val="24"/>
          <w:lang w:eastAsia="zh-CN"/>
        </w:rPr>
        <w:t>下降</w:t>
      </w:r>
      <w:r>
        <w:rPr>
          <w:rFonts w:hint="eastAsia" w:ascii="仿宋_GB2312" w:eastAsia="仿宋_GB2312"/>
          <w:color w:val="000000"/>
          <w:sz w:val="24"/>
          <w:lang w:val="en-US" w:eastAsia="zh-CN"/>
        </w:rPr>
        <w:t>1.32</w:t>
      </w:r>
      <w:r>
        <w:rPr>
          <w:rFonts w:ascii="仿宋_GB2312" w:eastAsia="仿宋_GB2312"/>
          <w:color w:val="000000"/>
          <w:sz w:val="24"/>
        </w:rPr>
        <w:t>%，比上年同期</w:t>
      </w:r>
      <w:r>
        <w:rPr>
          <w:rFonts w:hint="eastAsia" w:ascii="仿宋_GB2312" w:eastAsia="仿宋_GB2312"/>
          <w:color w:val="000000"/>
          <w:sz w:val="24"/>
          <w:lang w:eastAsia="zh-CN"/>
        </w:rPr>
        <w:t>同比增长</w:t>
      </w:r>
      <w:r>
        <w:rPr>
          <w:rFonts w:hint="eastAsia" w:ascii="仿宋_GB2312" w:eastAsia="仿宋_GB2312"/>
          <w:color w:val="000000"/>
          <w:sz w:val="24"/>
          <w:lang w:val="en-US" w:eastAsia="zh-CN"/>
        </w:rPr>
        <w:t>1.15</w:t>
      </w:r>
      <w:r>
        <w:rPr>
          <w:rFonts w:ascii="仿宋_GB2312" w:eastAsia="仿宋_GB2312"/>
          <w:color w:val="000000"/>
          <w:sz w:val="24"/>
        </w:rPr>
        <w:t>%</w:t>
      </w:r>
      <w:r>
        <w:rPr>
          <w:rFonts w:hint="eastAsia" w:ascii="仿宋_GB2312" w:eastAsia="仿宋_GB2312"/>
          <w:color w:val="000000"/>
          <w:sz w:val="24"/>
        </w:rPr>
        <w:t>。</w:t>
      </w:r>
      <w:r>
        <w:rPr>
          <w:rFonts w:hint="eastAsia" w:ascii="仿宋_GB2312" w:eastAsia="仿宋_GB2312"/>
          <w:color w:val="000000"/>
          <w:sz w:val="24"/>
          <w:lang w:eastAsia="zh-CN"/>
        </w:rPr>
        <w:t>老</w:t>
      </w:r>
      <w:r>
        <w:rPr>
          <w:rFonts w:ascii="仿宋_GB2312" w:eastAsia="仿宋_GB2312"/>
          <w:color w:val="000000"/>
          <w:sz w:val="24"/>
        </w:rPr>
        <w:t>床位数</w:t>
      </w:r>
      <w:r>
        <w:rPr>
          <w:rFonts w:hint="eastAsia" w:ascii="宋体" w:hAnsi="宋体" w:eastAsia="宋体" w:cs="宋体"/>
          <w:i w:val="0"/>
          <w:color w:val="000000"/>
          <w:kern w:val="0"/>
          <w:sz w:val="22"/>
          <w:szCs w:val="22"/>
          <w:u w:val="none"/>
          <w:lang w:val="en-US" w:eastAsia="zh-CN" w:bidi="ar"/>
        </w:rPr>
        <w:t>84311</w:t>
      </w:r>
      <w:r>
        <w:rPr>
          <w:rFonts w:ascii="仿宋_GB2312" w:eastAsia="仿宋_GB2312"/>
          <w:color w:val="000000"/>
          <w:sz w:val="24"/>
        </w:rPr>
        <w:t>张，比</w:t>
      </w:r>
      <w:r>
        <w:rPr>
          <w:rFonts w:hint="eastAsia" w:ascii="仿宋_GB2312" w:eastAsia="仿宋_GB2312"/>
          <w:color w:val="000000"/>
          <w:sz w:val="24"/>
          <w:lang w:eastAsia="zh-CN"/>
        </w:rPr>
        <w:t>2021年</w:t>
      </w:r>
      <w:r>
        <w:rPr>
          <w:rFonts w:hint="eastAsia" w:ascii="仿宋_GB2312" w:eastAsia="仿宋_GB2312"/>
          <w:color w:val="000000"/>
          <w:sz w:val="24"/>
          <w:lang w:val="en-US" w:eastAsia="zh-CN"/>
        </w:rPr>
        <w:t>2</w:t>
      </w:r>
      <w:r>
        <w:rPr>
          <w:rFonts w:ascii="仿宋_GB2312" w:eastAsia="仿宋_GB2312"/>
          <w:color w:val="000000"/>
          <w:sz w:val="24"/>
        </w:rPr>
        <w:t>季度</w:t>
      </w:r>
      <w:r>
        <w:rPr>
          <w:rFonts w:hint="eastAsia" w:ascii="仿宋_GB2312" w:eastAsia="仿宋_GB2312"/>
          <w:color w:val="000000"/>
          <w:sz w:val="24"/>
          <w:lang w:eastAsia="zh-CN"/>
        </w:rPr>
        <w:t>下降</w:t>
      </w:r>
      <w:r>
        <w:rPr>
          <w:rFonts w:hint="eastAsia" w:ascii="仿宋_GB2312" w:eastAsia="仿宋_GB2312"/>
          <w:color w:val="000000"/>
          <w:sz w:val="24"/>
          <w:lang w:val="en-US" w:eastAsia="zh-CN"/>
        </w:rPr>
        <w:t>0.63</w:t>
      </w:r>
      <w:r>
        <w:rPr>
          <w:rFonts w:ascii="仿宋_GB2312" w:eastAsia="仿宋_GB2312"/>
          <w:color w:val="000000"/>
          <w:sz w:val="24"/>
        </w:rPr>
        <w:t>%，比上年同期</w:t>
      </w:r>
      <w:r>
        <w:rPr>
          <w:rFonts w:hint="eastAsia" w:ascii="仿宋_GB2312" w:eastAsia="仿宋_GB2312"/>
          <w:color w:val="000000"/>
          <w:sz w:val="24"/>
          <w:lang w:eastAsia="zh-CN"/>
        </w:rPr>
        <w:t>同比增长</w:t>
      </w:r>
      <w:r>
        <w:rPr>
          <w:rFonts w:hint="eastAsia" w:ascii="仿宋_GB2312" w:eastAsia="仿宋_GB2312"/>
          <w:color w:val="000000"/>
          <w:sz w:val="24"/>
          <w:lang w:val="en-US" w:eastAsia="zh-CN"/>
        </w:rPr>
        <w:t>3.85</w:t>
      </w:r>
      <w:r>
        <w:rPr>
          <w:rFonts w:ascii="仿宋_GB2312" w:eastAsia="仿宋_GB2312"/>
          <w:color w:val="000000"/>
          <w:sz w:val="24"/>
        </w:rPr>
        <w:t>%。</w:t>
      </w:r>
    </w:p>
    <w:p>
      <w:pPr>
        <w:ind w:right="359" w:rightChars="171" w:firstLine="420"/>
        <w:rPr>
          <w:rFonts w:ascii="宋体" w:hAnsi="宋体"/>
          <w:sz w:val="28"/>
          <w:szCs w:val="28"/>
        </w:rPr>
      </w:pPr>
    </w:p>
    <w:p>
      <w:pPr>
        <w:spacing w:line="480" w:lineRule="auto"/>
        <w:ind w:right="359" w:rightChars="171" w:firstLine="560" w:firstLineChars="200"/>
        <w:rPr>
          <w:rFonts w:hint="eastAsia" w:ascii="楷体_GB2312" w:hAnsi="楷体_GB2312" w:eastAsia="楷体_GB2312" w:cs="楷体_GB2312"/>
          <w:sz w:val="28"/>
          <w:szCs w:val="28"/>
        </w:rPr>
      </w:pPr>
      <w:r>
        <w:rPr>
          <w:rFonts w:hint="eastAsia" w:ascii="楷体_GB2312" w:hAnsi="楷体_GB2312" w:eastAsia="楷体_GB2312" w:cs="楷体_GB2312"/>
          <w:sz w:val="28"/>
          <w:szCs w:val="28"/>
        </w:rPr>
        <w:t>2.</w:t>
      </w:r>
      <w:bookmarkStart w:id="1" w:name="_Hlk508271236"/>
      <w:r>
        <w:rPr>
          <w:rFonts w:hint="eastAsia" w:ascii="楷体_GB2312" w:hAnsi="楷体_GB2312" w:eastAsia="楷体_GB2312" w:cs="楷体_GB2312"/>
          <w:sz w:val="28"/>
          <w:szCs w:val="28"/>
        </w:rPr>
        <w:t>精神疾病服务机构</w:t>
      </w:r>
      <w:bookmarkEnd w:id="1"/>
    </w:p>
    <w:tbl>
      <w:tblPr>
        <w:tblStyle w:val="6"/>
        <w:tblpPr w:leftFromText="180" w:rightFromText="180" w:vertAnchor="text" w:horzAnchor="margin" w:tblpY="104"/>
        <w:tblW w:w="9039" w:type="dxa"/>
        <w:tblInd w:w="0" w:type="dxa"/>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
      <w:tblGrid>
        <w:gridCol w:w="3572"/>
        <w:gridCol w:w="1134"/>
        <w:gridCol w:w="1431"/>
        <w:gridCol w:w="1449"/>
        <w:gridCol w:w="1453"/>
      </w:tblGrid>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指      标</w:t>
            </w:r>
          </w:p>
        </w:tc>
        <w:tc>
          <w:tcPr>
            <w:tcW w:w="113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单 位</w:t>
            </w:r>
          </w:p>
        </w:tc>
        <w:tc>
          <w:tcPr>
            <w:tcW w:w="1431" w:type="dxa"/>
            <w:tcBorders>
              <w:top w:val="single" w:color="auto" w:sz="4" w:space="0"/>
              <w:left w:val="single" w:color="auto" w:sz="4" w:space="0"/>
              <w:bottom w:val="single" w:color="auto" w:sz="4" w:space="0"/>
              <w:right w:val="single" w:color="auto" w:sz="4" w:space="0"/>
            </w:tcBorders>
            <w:vAlign w:val="bottom"/>
          </w:tcPr>
          <w:p>
            <w:pPr>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数    量</w:t>
            </w:r>
          </w:p>
        </w:tc>
        <w:tc>
          <w:tcPr>
            <w:tcW w:w="1449" w:type="dxa"/>
            <w:tcBorders>
              <w:top w:val="single" w:color="auto" w:sz="4" w:space="0"/>
              <w:left w:val="single" w:color="auto" w:sz="4" w:space="0"/>
              <w:bottom w:val="single" w:color="auto" w:sz="4" w:space="0"/>
              <w:right w:val="single" w:color="auto" w:sz="4" w:space="0"/>
            </w:tcBorders>
            <w:vAlign w:val="bottom"/>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环比（%）</w:t>
            </w:r>
          </w:p>
        </w:tc>
        <w:tc>
          <w:tcPr>
            <w:tcW w:w="1453" w:type="dxa"/>
            <w:tcBorders>
              <w:top w:val="single" w:color="auto" w:sz="4" w:space="0"/>
              <w:left w:val="single" w:color="auto" w:sz="4" w:space="0"/>
              <w:bottom w:val="single" w:color="auto" w:sz="4" w:space="0"/>
            </w:tcBorders>
            <w:vAlign w:val="bottom"/>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同比（％）</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37" w:hRule="atLeast"/>
        </w:trPr>
        <w:tc>
          <w:tcPr>
            <w:tcW w:w="3572" w:type="dxa"/>
            <w:tcBorders>
              <w:top w:val="single" w:color="auto" w:sz="4" w:space="0"/>
              <w:bottom w:val="nil"/>
              <w:right w:val="single" w:color="auto" w:sz="4" w:space="0"/>
            </w:tcBorders>
            <w:vAlign w:val="bottom"/>
          </w:tcPr>
          <w:p>
            <w:pPr>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sz w:val="24"/>
                <w:szCs w:val="24"/>
              </w:rPr>
              <w:t>精神疾病服务机构</w:t>
            </w:r>
          </w:p>
        </w:tc>
        <w:tc>
          <w:tcPr>
            <w:tcW w:w="1134" w:type="dxa"/>
            <w:tcBorders>
              <w:top w:val="single" w:color="auto" w:sz="4" w:space="0"/>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个</w:t>
            </w:r>
          </w:p>
        </w:tc>
        <w:tc>
          <w:tcPr>
            <w:tcW w:w="1431" w:type="dxa"/>
            <w:tcBorders>
              <w:top w:val="single" w:color="auto" w:sz="4" w:space="0"/>
              <w:left w:val="single" w:color="auto" w:sz="4" w:space="0"/>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lang w:val="en-US" w:eastAsia="zh-CN"/>
              </w:rPr>
            </w:pPr>
            <w:r>
              <w:rPr>
                <w:rFonts w:hint="eastAsia" w:ascii="宋体" w:hAnsi="宋体" w:eastAsia="宋体" w:cs="宋体"/>
                <w:i w:val="0"/>
                <w:color w:val="000000"/>
                <w:kern w:val="0"/>
                <w:sz w:val="22"/>
                <w:szCs w:val="22"/>
                <w:u w:val="none"/>
                <w:lang w:val="en-US" w:eastAsia="zh-CN" w:bidi="ar"/>
              </w:rPr>
              <w:t>12</w:t>
            </w:r>
          </w:p>
        </w:tc>
        <w:tc>
          <w:tcPr>
            <w:tcW w:w="1449" w:type="dxa"/>
            <w:tcBorders>
              <w:top w:val="single" w:color="auto" w:sz="4" w:space="0"/>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-20.00 </w:t>
            </w:r>
          </w:p>
        </w:tc>
        <w:tc>
          <w:tcPr>
            <w:tcW w:w="1453" w:type="dxa"/>
            <w:tcBorders>
              <w:top w:val="single" w:color="auto" w:sz="4" w:space="0"/>
              <w:left w:val="nil"/>
              <w:bottom w:val="nil"/>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-29.41 </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37" w:hRule="atLeast"/>
        </w:trPr>
        <w:tc>
          <w:tcPr>
            <w:tcW w:w="3572" w:type="dxa"/>
            <w:tcBorders>
              <w:top w:val="nil"/>
              <w:bottom w:val="single" w:color="auto" w:sz="4" w:space="0"/>
              <w:right w:val="single" w:color="auto" w:sz="4" w:space="0"/>
            </w:tcBorders>
            <w:vAlign w:val="bottom"/>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精神疾病服务</w:t>
            </w:r>
            <w:r>
              <w:rPr>
                <w:rFonts w:hint="eastAsia" w:ascii="仿宋_GB2312" w:hAnsi="仿宋_GB2312" w:eastAsia="仿宋_GB2312" w:cs="仿宋_GB2312"/>
                <w:sz w:val="24"/>
                <w:szCs w:val="24"/>
                <w:lang w:eastAsia="zh-CN"/>
              </w:rPr>
              <w:t>机构</w:t>
            </w:r>
            <w:r>
              <w:rPr>
                <w:rFonts w:hint="eastAsia" w:ascii="仿宋_GB2312" w:hAnsi="仿宋_GB2312" w:eastAsia="仿宋_GB2312" w:cs="仿宋_GB2312"/>
                <w:sz w:val="24"/>
                <w:szCs w:val="24"/>
              </w:rPr>
              <w:t>床位数</w:t>
            </w:r>
          </w:p>
        </w:tc>
        <w:tc>
          <w:tcPr>
            <w:tcW w:w="1134" w:type="dxa"/>
            <w:tcBorders>
              <w:top w:val="nil"/>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张</w:t>
            </w:r>
          </w:p>
        </w:tc>
        <w:tc>
          <w:tcPr>
            <w:tcW w:w="1431" w:type="dxa"/>
            <w:tcBorders>
              <w:top w:val="nil"/>
              <w:left w:val="single" w:color="auto" w:sz="4" w:space="0"/>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lang w:val="en-US" w:eastAsia="zh-CN"/>
              </w:rPr>
            </w:pPr>
            <w:r>
              <w:rPr>
                <w:rFonts w:hint="eastAsia" w:ascii="宋体" w:hAnsi="宋体" w:eastAsia="宋体" w:cs="宋体"/>
                <w:i w:val="0"/>
                <w:color w:val="000000"/>
                <w:kern w:val="0"/>
                <w:sz w:val="22"/>
                <w:szCs w:val="22"/>
                <w:u w:val="none"/>
                <w:lang w:val="en-US" w:eastAsia="zh-CN" w:bidi="ar"/>
              </w:rPr>
              <w:t>3332</w:t>
            </w:r>
          </w:p>
        </w:tc>
        <w:tc>
          <w:tcPr>
            <w:tcW w:w="1449" w:type="dxa"/>
            <w:tcBorders>
              <w:top w:val="nil"/>
              <w:left w:val="nil"/>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-13.50 </w:t>
            </w:r>
          </w:p>
        </w:tc>
        <w:tc>
          <w:tcPr>
            <w:tcW w:w="1453" w:type="dxa"/>
            <w:tcBorders>
              <w:top w:val="nil"/>
              <w:left w:val="nil"/>
              <w:bottom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-11.78 </w:t>
            </w:r>
          </w:p>
        </w:tc>
      </w:tr>
    </w:tbl>
    <w:p>
      <w:pPr>
        <w:ind w:right="359" w:rightChars="171"/>
        <w:rPr>
          <w:rFonts w:ascii="仿宋_GB2312" w:eastAsia="仿宋_GB2312"/>
          <w:sz w:val="24"/>
        </w:rPr>
      </w:pPr>
    </w:p>
    <w:p>
      <w:pPr>
        <w:ind w:right="359" w:rightChars="171" w:firstLine="420"/>
        <w:rPr>
          <w:rFonts w:hint="eastAsia" w:ascii="仿宋_GB2312" w:hAnsi="仿宋_GB2312" w:eastAsia="仿宋_GB2312" w:cs="仿宋_GB2312"/>
          <w:sz w:val="24"/>
          <w:szCs w:val="24"/>
          <w:lang w:eastAsia="zh-CN"/>
        </w:rPr>
      </w:pPr>
      <w:r>
        <w:rPr>
          <w:rFonts w:hint="eastAsia" w:ascii="仿宋_GB2312" w:eastAsia="仿宋_GB2312"/>
          <w:sz w:val="24"/>
        </w:rPr>
        <w:t>精神疾病服务机构数</w:t>
      </w:r>
      <w:r>
        <w:rPr>
          <w:rFonts w:hint="eastAsia" w:ascii="仿宋_GB2312" w:eastAsia="仿宋_GB2312"/>
          <w:sz w:val="24"/>
          <w:lang w:val="en-US" w:eastAsia="zh-CN"/>
        </w:rPr>
        <w:t>12</w:t>
      </w:r>
      <w:r>
        <w:rPr>
          <w:rFonts w:hint="eastAsia" w:ascii="仿宋_GB2312" w:eastAsia="仿宋_GB2312"/>
          <w:sz w:val="24"/>
        </w:rPr>
        <w:t>个</w:t>
      </w:r>
      <w:r>
        <w:rPr>
          <w:rFonts w:hint="eastAsia" w:ascii="仿宋_GB2312" w:eastAsia="仿宋_GB2312"/>
          <w:sz w:val="24"/>
          <w:lang w:eastAsia="zh-CN"/>
        </w:rPr>
        <w:t>，比</w:t>
      </w:r>
      <w:r>
        <w:rPr>
          <w:rFonts w:hint="eastAsia" w:ascii="仿宋_GB2312" w:eastAsia="仿宋_GB2312"/>
          <w:color w:val="000000"/>
          <w:sz w:val="24"/>
          <w:lang w:eastAsia="zh-CN"/>
        </w:rPr>
        <w:t>2021年</w:t>
      </w:r>
      <w:r>
        <w:rPr>
          <w:rFonts w:hint="eastAsia" w:ascii="仿宋_GB2312" w:eastAsia="仿宋_GB2312"/>
          <w:color w:val="000000"/>
          <w:sz w:val="24"/>
          <w:lang w:val="en-US" w:eastAsia="zh-CN"/>
        </w:rPr>
        <w:t>2</w:t>
      </w:r>
      <w:r>
        <w:rPr>
          <w:rFonts w:ascii="仿宋_GB2312" w:eastAsia="仿宋_GB2312"/>
          <w:color w:val="000000"/>
          <w:sz w:val="24"/>
        </w:rPr>
        <w:t>季度</w:t>
      </w:r>
      <w:r>
        <w:rPr>
          <w:rFonts w:hint="eastAsia" w:ascii="仿宋_GB2312" w:eastAsia="仿宋_GB2312"/>
          <w:color w:val="000000"/>
          <w:sz w:val="24"/>
          <w:lang w:eastAsia="zh-CN"/>
        </w:rPr>
        <w:t>下降</w:t>
      </w:r>
      <w:r>
        <w:rPr>
          <w:rFonts w:hint="eastAsia" w:ascii="仿宋_GB2312" w:eastAsia="仿宋_GB2312"/>
          <w:color w:val="000000"/>
          <w:sz w:val="24"/>
          <w:lang w:val="en-US" w:eastAsia="zh-CN"/>
        </w:rPr>
        <w:t>20%，比</w:t>
      </w:r>
      <w:r>
        <w:rPr>
          <w:rFonts w:ascii="仿宋_GB2312" w:eastAsia="仿宋_GB2312"/>
          <w:color w:val="000000"/>
          <w:sz w:val="24"/>
        </w:rPr>
        <w:t>上年同期</w:t>
      </w:r>
      <w:r>
        <w:rPr>
          <w:rFonts w:hint="eastAsia" w:ascii="仿宋_GB2312" w:eastAsia="仿宋_GB2312"/>
          <w:color w:val="000000"/>
          <w:sz w:val="24"/>
          <w:lang w:eastAsia="zh-CN"/>
        </w:rPr>
        <w:t>同比下降</w:t>
      </w:r>
      <w:r>
        <w:rPr>
          <w:rFonts w:hint="eastAsia" w:ascii="仿宋_GB2312" w:eastAsia="仿宋_GB2312"/>
          <w:color w:val="000000"/>
          <w:sz w:val="24"/>
          <w:lang w:val="en-US" w:eastAsia="zh-CN"/>
        </w:rPr>
        <w:t>29.41%</w:t>
      </w:r>
      <w:r>
        <w:rPr>
          <w:rFonts w:hint="eastAsia" w:ascii="仿宋_GB2312" w:eastAsia="仿宋_GB2312"/>
          <w:sz w:val="24"/>
        </w:rPr>
        <w:t>。精神疾病服务床位数</w:t>
      </w:r>
      <w:r>
        <w:rPr>
          <w:rFonts w:hint="eastAsia" w:ascii="宋体" w:hAnsi="宋体" w:eastAsia="宋体" w:cs="宋体"/>
          <w:i w:val="0"/>
          <w:color w:val="000000"/>
          <w:kern w:val="0"/>
          <w:sz w:val="22"/>
          <w:szCs w:val="22"/>
          <w:u w:val="none"/>
          <w:lang w:val="en-US" w:eastAsia="zh-CN" w:bidi="ar"/>
        </w:rPr>
        <w:t>3332</w:t>
      </w:r>
      <w:r>
        <w:rPr>
          <w:rFonts w:hint="eastAsia" w:ascii="仿宋_GB2312" w:eastAsia="仿宋_GB2312"/>
          <w:sz w:val="24"/>
        </w:rPr>
        <w:t>张，</w:t>
      </w:r>
      <w:r>
        <w:rPr>
          <w:rFonts w:hint="eastAsia" w:ascii="仿宋_GB2312" w:eastAsia="仿宋_GB2312"/>
          <w:sz w:val="24"/>
          <w:lang w:eastAsia="zh-CN"/>
        </w:rPr>
        <w:t>比2021年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下降</w:t>
      </w:r>
      <w:r>
        <w:rPr>
          <w:rFonts w:hint="eastAsia" w:ascii="仿宋_GB2312" w:eastAsia="仿宋_GB2312"/>
          <w:sz w:val="24"/>
          <w:lang w:val="en-US" w:eastAsia="zh-CN"/>
        </w:rPr>
        <w:t>13.50%</w:t>
      </w:r>
      <w:r>
        <w:rPr>
          <w:rFonts w:hint="eastAsia" w:ascii="仿宋_GB2312" w:eastAsia="仿宋_GB2312"/>
          <w:sz w:val="24"/>
        </w:rPr>
        <w:t>，比上年同期同比</w:t>
      </w:r>
      <w:r>
        <w:rPr>
          <w:rFonts w:hint="eastAsia" w:ascii="仿宋_GB2312" w:eastAsia="仿宋_GB2312"/>
          <w:sz w:val="24"/>
          <w:lang w:eastAsia="zh-CN"/>
        </w:rPr>
        <w:t>下降</w:t>
      </w:r>
      <w:r>
        <w:rPr>
          <w:rFonts w:hint="eastAsia" w:ascii="仿宋_GB2312" w:eastAsia="仿宋_GB2312"/>
          <w:sz w:val="24"/>
          <w:lang w:val="en-US" w:eastAsia="zh-CN"/>
        </w:rPr>
        <w:t>11.78</w:t>
      </w:r>
      <w:r>
        <w:rPr>
          <w:rFonts w:hint="eastAsia" w:ascii="仿宋_GB2312" w:eastAsia="仿宋_GB2312"/>
          <w:sz w:val="24"/>
        </w:rPr>
        <w:t>%。</w:t>
      </w:r>
      <w:r>
        <w:rPr>
          <w:rFonts w:hint="eastAsia" w:ascii="仿宋_GB2312" w:eastAsia="仿宋_GB2312"/>
          <w:sz w:val="24"/>
          <w:lang w:eastAsia="zh-CN"/>
        </w:rPr>
        <w:t>（减少的</w:t>
      </w:r>
      <w:r>
        <w:rPr>
          <w:rFonts w:hint="eastAsia" w:ascii="仿宋_GB2312" w:eastAsia="仿宋_GB2312"/>
          <w:sz w:val="24"/>
          <w:lang w:val="en-US" w:eastAsia="zh-CN"/>
        </w:rPr>
        <w:t>3个</w:t>
      </w:r>
      <w:r>
        <w:rPr>
          <w:rFonts w:hint="eastAsia" w:ascii="仿宋_GB2312" w:hAnsi="仿宋_GB2312" w:eastAsia="仿宋_GB2312" w:cs="仿宋_GB2312"/>
          <w:sz w:val="24"/>
          <w:szCs w:val="24"/>
        </w:rPr>
        <w:t>精神疾病服务机构</w:t>
      </w:r>
      <w:r>
        <w:rPr>
          <w:rFonts w:hint="eastAsia" w:ascii="仿宋_GB2312" w:hAnsi="仿宋_GB2312" w:eastAsia="仿宋_GB2312" w:cs="仿宋_GB2312"/>
          <w:sz w:val="24"/>
          <w:szCs w:val="24"/>
          <w:lang w:eastAsia="zh-CN"/>
        </w:rPr>
        <w:t>系</w:t>
      </w:r>
      <w:r>
        <w:rPr>
          <w:rFonts w:hint="eastAsia" w:ascii="仿宋_GB2312" w:hAnsi="仿宋_GB2312" w:eastAsia="仿宋_GB2312" w:cs="仿宋_GB2312"/>
          <w:sz w:val="24"/>
          <w:szCs w:val="24"/>
          <w:lang w:val="en-US" w:eastAsia="zh-CN"/>
        </w:rPr>
        <w:t>务川自治县康复管理中心,属于麻风医院,调至其他提供住宿机构台卡；德江康复精神病医院属于市场监管部门登记的公建民营医养结合试点医院，非民政部门管理，将社会福利医院台卡已删除；黔南布依族苗族自治州精神病医院（黔南布依族苗族自治州优抚医院）属于一个机构多个牌子，之前分别统计，现优抚医院为退役安置部门管理，将优抚医院从社会福利医院台卡删除</w:t>
      </w:r>
      <w:r>
        <w:rPr>
          <w:rFonts w:hint="eastAsia" w:ascii="仿宋_GB2312" w:hAnsi="仿宋_GB2312" w:eastAsia="仿宋_GB2312" w:cs="仿宋_GB2312"/>
          <w:sz w:val="24"/>
          <w:szCs w:val="24"/>
          <w:lang w:eastAsia="zh-CN"/>
        </w:rPr>
        <w:t>）</w:t>
      </w:r>
    </w:p>
    <w:p>
      <w:pPr>
        <w:spacing w:line="480" w:lineRule="auto"/>
        <w:ind w:right="359" w:rightChars="171" w:firstLine="560" w:firstLineChars="200"/>
        <w:rPr>
          <w:rFonts w:hint="eastAsia" w:ascii="楷体_GB2312" w:hAnsi="楷体_GB2312" w:eastAsia="楷体_GB2312" w:cs="楷体_GB2312"/>
          <w:sz w:val="28"/>
          <w:szCs w:val="28"/>
        </w:rPr>
      </w:pPr>
      <w:r>
        <w:rPr>
          <w:rFonts w:hint="eastAsia" w:ascii="楷体_GB2312" w:hAnsi="楷体_GB2312" w:eastAsia="楷体_GB2312" w:cs="楷体_GB2312"/>
          <w:sz w:val="28"/>
          <w:szCs w:val="28"/>
        </w:rPr>
        <w:t>3.</w:t>
      </w:r>
      <w:bookmarkStart w:id="2" w:name="_Hlk508271316"/>
      <w:r>
        <w:rPr>
          <w:rFonts w:hint="eastAsia" w:ascii="楷体_GB2312" w:hAnsi="楷体_GB2312" w:eastAsia="楷体_GB2312" w:cs="楷体_GB2312"/>
          <w:sz w:val="28"/>
          <w:szCs w:val="28"/>
        </w:rPr>
        <w:t>儿童</w:t>
      </w:r>
      <w:r>
        <w:rPr>
          <w:rFonts w:hint="eastAsia" w:ascii="楷体_GB2312" w:hAnsi="楷体_GB2312" w:eastAsia="楷体_GB2312" w:cs="楷体_GB2312"/>
          <w:sz w:val="28"/>
          <w:szCs w:val="28"/>
          <w:lang w:eastAsia="zh-CN"/>
        </w:rPr>
        <w:t>福利和</w:t>
      </w:r>
      <w:r>
        <w:rPr>
          <w:rFonts w:hint="eastAsia" w:ascii="楷体_GB2312" w:hAnsi="楷体_GB2312" w:eastAsia="楷体_GB2312" w:cs="楷体_GB2312"/>
          <w:sz w:val="28"/>
          <w:szCs w:val="28"/>
        </w:rPr>
        <w:t>救助机构</w:t>
      </w:r>
      <w:bookmarkEnd w:id="2"/>
    </w:p>
    <w:tbl>
      <w:tblPr>
        <w:tblStyle w:val="6"/>
        <w:tblpPr w:leftFromText="180" w:rightFromText="180" w:vertAnchor="text" w:horzAnchor="margin" w:tblpY="158"/>
        <w:tblW w:w="8897" w:type="dxa"/>
        <w:tblInd w:w="0" w:type="dxa"/>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
      <w:tblGrid>
        <w:gridCol w:w="3573"/>
        <w:gridCol w:w="1134"/>
        <w:gridCol w:w="1355"/>
        <w:gridCol w:w="1559"/>
        <w:gridCol w:w="1276"/>
      </w:tblGrid>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3" w:type="dxa"/>
            <w:tcBorders>
              <w:top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指      标</w:t>
            </w:r>
          </w:p>
        </w:tc>
        <w:tc>
          <w:tcPr>
            <w:tcW w:w="113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单 位</w:t>
            </w:r>
          </w:p>
        </w:tc>
        <w:tc>
          <w:tcPr>
            <w:tcW w:w="1355" w:type="dxa"/>
            <w:tcBorders>
              <w:top w:val="single" w:color="auto" w:sz="4" w:space="0"/>
              <w:left w:val="single" w:color="auto" w:sz="4" w:space="0"/>
              <w:bottom w:val="single" w:color="auto" w:sz="4" w:space="0"/>
              <w:right w:val="single" w:color="auto" w:sz="4" w:space="0"/>
            </w:tcBorders>
            <w:vAlign w:val="bottom"/>
          </w:tcPr>
          <w:p>
            <w:pPr>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数    量</w:t>
            </w:r>
          </w:p>
        </w:tc>
        <w:tc>
          <w:tcPr>
            <w:tcW w:w="1559" w:type="dxa"/>
            <w:tcBorders>
              <w:top w:val="single" w:color="auto" w:sz="4" w:space="0"/>
              <w:left w:val="single" w:color="auto" w:sz="4" w:space="0"/>
              <w:bottom w:val="single" w:color="auto" w:sz="4" w:space="0"/>
              <w:right w:val="nil"/>
            </w:tcBorders>
            <w:vAlign w:val="bottom"/>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环比（%）</w:t>
            </w:r>
          </w:p>
        </w:tc>
        <w:tc>
          <w:tcPr>
            <w:tcW w:w="1276" w:type="dxa"/>
            <w:tcBorders>
              <w:top w:val="single" w:color="auto" w:sz="4" w:space="0"/>
              <w:left w:val="single" w:color="auto" w:sz="4" w:space="0"/>
              <w:bottom w:val="single" w:color="auto" w:sz="4" w:space="0"/>
              <w:right w:val="nil"/>
            </w:tcBorders>
            <w:vAlign w:val="top"/>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同比（%）</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37" w:hRule="atLeast"/>
        </w:trPr>
        <w:tc>
          <w:tcPr>
            <w:tcW w:w="3573" w:type="dxa"/>
            <w:tcBorders>
              <w:top w:val="single" w:color="auto" w:sz="4" w:space="0"/>
              <w:bottom w:val="nil"/>
              <w:right w:val="single" w:color="auto" w:sz="4" w:space="0"/>
            </w:tcBorders>
            <w:vAlign w:val="bottom"/>
          </w:tcPr>
          <w:p>
            <w:pPr>
              <w:jc w:val="center"/>
              <w:rPr>
                <w:rFonts w:hint="eastAsia" w:ascii="仿宋_GB2312" w:hAnsi="仿宋_GB2312" w:eastAsia="仿宋_GB2312" w:cs="仿宋_GB2312"/>
                <w:kern w:val="0"/>
                <w:sz w:val="24"/>
                <w:szCs w:val="24"/>
                <w:highlight w:val="none"/>
              </w:rPr>
            </w:pPr>
            <w:r>
              <w:rPr>
                <w:rFonts w:hint="eastAsia" w:ascii="仿宋_GB2312" w:hAnsi="仿宋_GB2312" w:eastAsia="仿宋_GB2312" w:cs="仿宋_GB2312"/>
                <w:sz w:val="24"/>
                <w:szCs w:val="24"/>
                <w:highlight w:val="none"/>
              </w:rPr>
              <w:t>儿童</w:t>
            </w:r>
            <w:r>
              <w:rPr>
                <w:rFonts w:hint="eastAsia" w:ascii="仿宋_GB2312" w:hAnsi="仿宋_GB2312" w:eastAsia="仿宋_GB2312" w:cs="仿宋_GB2312"/>
                <w:sz w:val="24"/>
                <w:szCs w:val="24"/>
                <w:highlight w:val="none"/>
                <w:lang w:eastAsia="zh-CN"/>
              </w:rPr>
              <w:t>福利和</w:t>
            </w:r>
            <w:r>
              <w:rPr>
                <w:rFonts w:hint="eastAsia" w:ascii="仿宋_GB2312" w:hAnsi="仿宋_GB2312" w:eastAsia="仿宋_GB2312" w:cs="仿宋_GB2312"/>
                <w:sz w:val="24"/>
                <w:szCs w:val="24"/>
                <w:highlight w:val="none"/>
              </w:rPr>
              <w:t>救助机构</w:t>
            </w:r>
          </w:p>
        </w:tc>
        <w:tc>
          <w:tcPr>
            <w:tcW w:w="1134" w:type="dxa"/>
            <w:tcBorders>
              <w:top w:val="single" w:color="auto" w:sz="4" w:space="0"/>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highlight w:val="none"/>
              </w:rPr>
            </w:pPr>
            <w:r>
              <w:rPr>
                <w:rFonts w:hint="eastAsia" w:ascii="仿宋_GB2312" w:hAnsi="仿宋_GB2312" w:eastAsia="仿宋_GB2312" w:cs="仿宋_GB2312"/>
                <w:kern w:val="0"/>
                <w:sz w:val="24"/>
                <w:szCs w:val="24"/>
                <w:highlight w:val="none"/>
              </w:rPr>
              <w:t>个</w:t>
            </w:r>
          </w:p>
        </w:tc>
        <w:tc>
          <w:tcPr>
            <w:tcW w:w="1355" w:type="dxa"/>
            <w:tcBorders>
              <w:top w:val="single" w:color="auto" w:sz="4" w:space="0"/>
              <w:left w:val="single" w:color="auto" w:sz="4" w:space="0"/>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highlight w:val="none"/>
                <w:lang w:val="en-US" w:eastAsia="zh-CN"/>
              </w:rPr>
            </w:pPr>
            <w:r>
              <w:rPr>
                <w:rFonts w:hint="eastAsia" w:ascii="宋体" w:hAnsi="宋体" w:eastAsia="宋体" w:cs="宋体"/>
                <w:i w:val="0"/>
                <w:color w:val="000000"/>
                <w:kern w:val="0"/>
                <w:sz w:val="22"/>
                <w:szCs w:val="22"/>
                <w:highlight w:val="none"/>
                <w:u w:val="none"/>
                <w:lang w:val="en-US" w:eastAsia="zh-CN" w:bidi="ar"/>
              </w:rPr>
              <w:t>30</w:t>
            </w:r>
          </w:p>
        </w:tc>
        <w:tc>
          <w:tcPr>
            <w:tcW w:w="1559" w:type="dxa"/>
            <w:tcBorders>
              <w:top w:val="single" w:color="auto" w:sz="4" w:space="0"/>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highlight w:val="none"/>
                <w:lang w:val="en-US" w:eastAsia="zh-CN"/>
              </w:rPr>
            </w:pPr>
            <w:r>
              <w:rPr>
                <w:rFonts w:hint="default" w:ascii="Arial" w:hAnsi="Arial" w:eastAsia="宋体" w:cs="Arial"/>
                <w:i w:val="0"/>
                <w:color w:val="000000"/>
                <w:kern w:val="0"/>
                <w:sz w:val="20"/>
                <w:szCs w:val="20"/>
                <w:highlight w:val="none"/>
                <w:u w:val="none"/>
                <w:lang w:val="en-US" w:eastAsia="zh-CN" w:bidi="ar"/>
              </w:rPr>
              <w:t xml:space="preserve">3.45 </w:t>
            </w:r>
          </w:p>
        </w:tc>
        <w:tc>
          <w:tcPr>
            <w:tcW w:w="1276" w:type="dxa"/>
            <w:tcBorders>
              <w:top w:val="single" w:color="auto" w:sz="4" w:space="0"/>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highlight w:val="none"/>
                <w:lang w:val="en-US" w:eastAsia="zh-CN"/>
              </w:rPr>
            </w:pPr>
            <w:r>
              <w:rPr>
                <w:rFonts w:hint="default" w:ascii="Arial" w:hAnsi="Arial" w:eastAsia="宋体" w:cs="Arial"/>
                <w:i w:val="0"/>
                <w:color w:val="000000"/>
                <w:kern w:val="0"/>
                <w:sz w:val="20"/>
                <w:szCs w:val="20"/>
                <w:highlight w:val="none"/>
                <w:u w:val="none"/>
                <w:lang w:val="en-US" w:eastAsia="zh-CN" w:bidi="ar"/>
              </w:rPr>
              <w:t xml:space="preserve">7.14 </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37" w:hRule="atLeast"/>
        </w:trPr>
        <w:tc>
          <w:tcPr>
            <w:tcW w:w="3573" w:type="dxa"/>
            <w:tcBorders>
              <w:top w:val="nil"/>
              <w:bottom w:val="single" w:color="auto" w:sz="4" w:space="0"/>
              <w:right w:val="single" w:color="auto" w:sz="4" w:space="0"/>
            </w:tcBorders>
            <w:vAlign w:val="bottom"/>
          </w:tcPr>
          <w:p>
            <w:pPr>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lang w:eastAsia="zh-CN"/>
              </w:rPr>
              <w:t>儿童福利和</w:t>
            </w:r>
            <w:r>
              <w:rPr>
                <w:rFonts w:hint="eastAsia" w:ascii="仿宋_GB2312" w:hAnsi="仿宋_GB2312" w:eastAsia="仿宋_GB2312" w:cs="仿宋_GB2312"/>
                <w:sz w:val="24"/>
                <w:szCs w:val="24"/>
                <w:highlight w:val="none"/>
              </w:rPr>
              <w:t>救助</w:t>
            </w:r>
            <w:r>
              <w:rPr>
                <w:rFonts w:hint="eastAsia" w:ascii="仿宋_GB2312" w:hAnsi="仿宋_GB2312" w:eastAsia="仿宋_GB2312" w:cs="仿宋_GB2312"/>
                <w:sz w:val="24"/>
                <w:szCs w:val="24"/>
                <w:highlight w:val="none"/>
                <w:lang w:eastAsia="zh-CN"/>
              </w:rPr>
              <w:t>机构</w:t>
            </w:r>
            <w:r>
              <w:rPr>
                <w:rFonts w:hint="eastAsia" w:ascii="仿宋_GB2312" w:hAnsi="仿宋_GB2312" w:eastAsia="仿宋_GB2312" w:cs="仿宋_GB2312"/>
                <w:sz w:val="24"/>
                <w:szCs w:val="24"/>
                <w:highlight w:val="none"/>
              </w:rPr>
              <w:t>床位数</w:t>
            </w:r>
          </w:p>
        </w:tc>
        <w:tc>
          <w:tcPr>
            <w:tcW w:w="1134" w:type="dxa"/>
            <w:tcBorders>
              <w:top w:val="nil"/>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张</w:t>
            </w:r>
          </w:p>
        </w:tc>
        <w:tc>
          <w:tcPr>
            <w:tcW w:w="1355" w:type="dxa"/>
            <w:tcBorders>
              <w:top w:val="nil"/>
              <w:left w:val="single" w:color="auto" w:sz="4" w:space="0"/>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highlight w:val="none"/>
                <w:lang w:val="en-US" w:eastAsia="zh-CN"/>
              </w:rPr>
            </w:pPr>
            <w:r>
              <w:rPr>
                <w:rFonts w:hint="eastAsia" w:ascii="宋体" w:hAnsi="宋体" w:eastAsia="宋体" w:cs="宋体"/>
                <w:i w:val="0"/>
                <w:color w:val="000000"/>
                <w:kern w:val="0"/>
                <w:sz w:val="22"/>
                <w:szCs w:val="22"/>
                <w:highlight w:val="none"/>
                <w:u w:val="none"/>
                <w:lang w:val="en-US" w:eastAsia="zh-CN" w:bidi="ar"/>
              </w:rPr>
              <w:t>3705</w:t>
            </w:r>
          </w:p>
        </w:tc>
        <w:tc>
          <w:tcPr>
            <w:tcW w:w="1559" w:type="dxa"/>
            <w:tcBorders>
              <w:top w:val="nil"/>
              <w:left w:val="nil"/>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highlight w:val="none"/>
                <w:lang w:val="en-US" w:eastAsia="zh-CN"/>
              </w:rPr>
            </w:pPr>
            <w:r>
              <w:rPr>
                <w:rFonts w:hint="default" w:ascii="Arial" w:hAnsi="Arial" w:eastAsia="宋体" w:cs="Arial"/>
                <w:i w:val="0"/>
                <w:color w:val="000000"/>
                <w:kern w:val="0"/>
                <w:sz w:val="20"/>
                <w:szCs w:val="20"/>
                <w:highlight w:val="none"/>
                <w:u w:val="none"/>
                <w:lang w:val="en-US" w:eastAsia="zh-CN" w:bidi="ar"/>
              </w:rPr>
              <w:t xml:space="preserve">0.03 </w:t>
            </w:r>
          </w:p>
        </w:tc>
        <w:tc>
          <w:tcPr>
            <w:tcW w:w="1276" w:type="dxa"/>
            <w:tcBorders>
              <w:top w:val="nil"/>
              <w:left w:val="nil"/>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highlight w:val="none"/>
                <w:lang w:val="en-US" w:eastAsia="zh-CN"/>
              </w:rPr>
            </w:pPr>
            <w:r>
              <w:rPr>
                <w:rFonts w:hint="default" w:ascii="Arial" w:hAnsi="Arial" w:eastAsia="宋体" w:cs="Arial"/>
                <w:i w:val="0"/>
                <w:color w:val="000000"/>
                <w:kern w:val="0"/>
                <w:sz w:val="20"/>
                <w:szCs w:val="20"/>
                <w:highlight w:val="none"/>
                <w:u w:val="none"/>
                <w:lang w:val="en-US" w:eastAsia="zh-CN" w:bidi="ar"/>
              </w:rPr>
              <w:t xml:space="preserve">0.79 </w:t>
            </w:r>
          </w:p>
        </w:tc>
      </w:tr>
    </w:tbl>
    <w:p>
      <w:pPr>
        <w:ind w:right="359" w:rightChars="171"/>
        <w:rPr>
          <w:rFonts w:hint="eastAsia" w:ascii="仿宋_GB2312" w:eastAsia="仿宋_GB2312"/>
          <w:sz w:val="24"/>
          <w:highlight w:val="none"/>
        </w:rPr>
      </w:pPr>
    </w:p>
    <w:p>
      <w:pPr>
        <w:ind w:right="359" w:rightChars="171" w:firstLine="420"/>
        <w:rPr>
          <w:rFonts w:ascii="仿宋_GB2312" w:eastAsia="仿宋_GB2312"/>
          <w:sz w:val="24"/>
          <w:highlight w:val="yellow"/>
        </w:rPr>
      </w:pPr>
      <w:r>
        <w:rPr>
          <w:rFonts w:hint="eastAsia" w:ascii="仿宋_GB2312" w:eastAsia="仿宋_GB2312"/>
          <w:sz w:val="24"/>
          <w:highlight w:val="none"/>
        </w:rPr>
        <w:t>儿童</w:t>
      </w:r>
      <w:r>
        <w:rPr>
          <w:rFonts w:hint="eastAsia" w:ascii="仿宋_GB2312" w:eastAsia="仿宋_GB2312"/>
          <w:sz w:val="24"/>
          <w:highlight w:val="none"/>
          <w:lang w:eastAsia="zh-CN"/>
        </w:rPr>
        <w:t>福利和</w:t>
      </w:r>
      <w:r>
        <w:rPr>
          <w:rFonts w:hint="eastAsia" w:ascii="仿宋_GB2312" w:eastAsia="仿宋_GB2312"/>
          <w:sz w:val="24"/>
          <w:highlight w:val="none"/>
        </w:rPr>
        <w:t>救助机构数</w:t>
      </w:r>
      <w:r>
        <w:rPr>
          <w:rFonts w:hint="eastAsia" w:ascii="仿宋_GB2312" w:eastAsia="仿宋_GB2312"/>
          <w:sz w:val="24"/>
          <w:highlight w:val="none"/>
          <w:lang w:val="en-US" w:eastAsia="zh-CN"/>
        </w:rPr>
        <w:t>30</w:t>
      </w:r>
      <w:r>
        <w:rPr>
          <w:rFonts w:hint="eastAsia" w:ascii="仿宋_GB2312" w:eastAsia="仿宋_GB2312"/>
          <w:sz w:val="24"/>
          <w:highlight w:val="none"/>
        </w:rPr>
        <w:t>个，</w:t>
      </w:r>
      <w:r>
        <w:rPr>
          <w:rFonts w:hint="eastAsia" w:ascii="仿宋_GB2312" w:eastAsia="仿宋_GB2312"/>
          <w:sz w:val="24"/>
          <w:highlight w:val="none"/>
          <w:lang w:eastAsia="zh-CN"/>
        </w:rPr>
        <w:t>比</w:t>
      </w:r>
      <w:r>
        <w:rPr>
          <w:rFonts w:hint="eastAsia" w:ascii="仿宋_GB2312" w:eastAsia="仿宋_GB2312"/>
          <w:color w:val="000000"/>
          <w:sz w:val="24"/>
          <w:highlight w:val="none"/>
          <w:lang w:eastAsia="zh-CN"/>
        </w:rPr>
        <w:t>2021年</w:t>
      </w:r>
      <w:r>
        <w:rPr>
          <w:rFonts w:hint="eastAsia" w:ascii="仿宋_GB2312" w:eastAsia="仿宋_GB2312"/>
          <w:color w:val="000000"/>
          <w:sz w:val="24"/>
          <w:highlight w:val="none"/>
          <w:lang w:val="en-US" w:eastAsia="zh-CN"/>
        </w:rPr>
        <w:t>2</w:t>
      </w:r>
      <w:r>
        <w:rPr>
          <w:rFonts w:ascii="仿宋_GB2312" w:eastAsia="仿宋_GB2312"/>
          <w:color w:val="000000"/>
          <w:sz w:val="24"/>
          <w:highlight w:val="none"/>
        </w:rPr>
        <w:t>季度</w:t>
      </w:r>
      <w:r>
        <w:rPr>
          <w:rFonts w:hint="eastAsia" w:ascii="仿宋_GB2312" w:eastAsia="仿宋_GB2312"/>
          <w:color w:val="000000"/>
          <w:sz w:val="24"/>
          <w:highlight w:val="none"/>
          <w:lang w:eastAsia="zh-CN"/>
        </w:rPr>
        <w:t>增长</w:t>
      </w:r>
      <w:r>
        <w:rPr>
          <w:rFonts w:hint="eastAsia" w:ascii="仿宋_GB2312" w:eastAsia="仿宋_GB2312"/>
          <w:color w:val="000000"/>
          <w:sz w:val="24"/>
          <w:highlight w:val="none"/>
          <w:lang w:val="en-US" w:eastAsia="zh-CN"/>
        </w:rPr>
        <w:t>3.45%</w:t>
      </w:r>
      <w:r>
        <w:rPr>
          <w:rFonts w:hint="eastAsia" w:ascii="仿宋_GB2312" w:eastAsia="仿宋_GB2312"/>
          <w:sz w:val="24"/>
          <w:highlight w:val="none"/>
        </w:rPr>
        <w:t>，</w:t>
      </w:r>
      <w:r>
        <w:rPr>
          <w:rFonts w:hint="eastAsia" w:ascii="仿宋_GB2312" w:eastAsia="仿宋_GB2312"/>
          <w:sz w:val="24"/>
          <w:highlight w:val="none"/>
          <w:lang w:eastAsia="zh-CN"/>
        </w:rPr>
        <w:t>比</w:t>
      </w:r>
      <w:r>
        <w:rPr>
          <w:rFonts w:hint="eastAsia" w:ascii="仿宋_GB2312" w:eastAsia="仿宋_GB2312"/>
          <w:sz w:val="24"/>
          <w:highlight w:val="none"/>
        </w:rPr>
        <w:t>上年同期</w:t>
      </w:r>
      <w:r>
        <w:rPr>
          <w:rFonts w:hint="eastAsia" w:ascii="仿宋_GB2312" w:eastAsia="仿宋_GB2312"/>
          <w:sz w:val="24"/>
          <w:highlight w:val="none"/>
          <w:lang w:eastAsia="zh-CN"/>
        </w:rPr>
        <w:t>同比增长</w:t>
      </w:r>
      <w:r>
        <w:rPr>
          <w:rFonts w:hint="eastAsia" w:ascii="仿宋_GB2312" w:eastAsia="仿宋_GB2312"/>
          <w:sz w:val="24"/>
          <w:highlight w:val="none"/>
          <w:lang w:val="en-US" w:eastAsia="zh-CN"/>
        </w:rPr>
        <w:t>7.14%</w:t>
      </w:r>
      <w:r>
        <w:rPr>
          <w:rFonts w:hint="eastAsia" w:ascii="仿宋_GB2312" w:eastAsia="仿宋_GB2312"/>
          <w:sz w:val="24"/>
          <w:highlight w:val="none"/>
        </w:rPr>
        <w:t>。</w:t>
      </w:r>
      <w:r>
        <w:rPr>
          <w:rFonts w:hint="eastAsia" w:ascii="仿宋_GB2312" w:eastAsia="仿宋_GB2312"/>
          <w:sz w:val="24"/>
          <w:highlight w:val="none"/>
        </w:rPr>
        <w:t>儿童</w:t>
      </w:r>
      <w:r>
        <w:rPr>
          <w:rFonts w:hint="eastAsia" w:ascii="仿宋_GB2312" w:eastAsia="仿宋_GB2312"/>
          <w:sz w:val="24"/>
          <w:highlight w:val="none"/>
          <w:lang w:eastAsia="zh-CN"/>
        </w:rPr>
        <w:t>福利和</w:t>
      </w:r>
      <w:r>
        <w:rPr>
          <w:rFonts w:hint="eastAsia" w:ascii="仿宋_GB2312" w:eastAsia="仿宋_GB2312"/>
          <w:sz w:val="24"/>
          <w:highlight w:val="none"/>
        </w:rPr>
        <w:t>救助服务床位数</w:t>
      </w:r>
      <w:r>
        <w:rPr>
          <w:rFonts w:hint="eastAsia" w:ascii="宋体" w:hAnsi="宋体" w:eastAsia="宋体" w:cs="宋体"/>
          <w:i w:val="0"/>
          <w:color w:val="000000"/>
          <w:kern w:val="0"/>
          <w:sz w:val="22"/>
          <w:szCs w:val="22"/>
          <w:highlight w:val="none"/>
          <w:u w:val="none"/>
          <w:lang w:val="en-US" w:eastAsia="zh-CN" w:bidi="ar"/>
        </w:rPr>
        <w:t>3705</w:t>
      </w:r>
      <w:r>
        <w:rPr>
          <w:rFonts w:hint="eastAsia" w:ascii="仿宋_GB2312" w:eastAsia="仿宋_GB2312"/>
          <w:sz w:val="24"/>
          <w:highlight w:val="none"/>
        </w:rPr>
        <w:t>张，</w:t>
      </w:r>
      <w:r>
        <w:rPr>
          <w:rFonts w:hint="eastAsia" w:ascii="仿宋_GB2312" w:eastAsia="仿宋_GB2312"/>
          <w:sz w:val="24"/>
          <w:highlight w:val="none"/>
          <w:lang w:eastAsia="zh-CN"/>
        </w:rPr>
        <w:t>比</w:t>
      </w:r>
      <w:r>
        <w:rPr>
          <w:rFonts w:hint="eastAsia" w:ascii="仿宋_GB2312" w:eastAsia="仿宋_GB2312"/>
          <w:color w:val="000000"/>
          <w:sz w:val="24"/>
          <w:highlight w:val="none"/>
          <w:lang w:eastAsia="zh-CN"/>
        </w:rPr>
        <w:t>2021年</w:t>
      </w:r>
      <w:r>
        <w:rPr>
          <w:rFonts w:hint="eastAsia" w:ascii="仿宋_GB2312" w:eastAsia="仿宋_GB2312"/>
          <w:color w:val="000000"/>
          <w:sz w:val="24"/>
          <w:highlight w:val="none"/>
          <w:lang w:val="en-US" w:eastAsia="zh-CN"/>
        </w:rPr>
        <w:t>2</w:t>
      </w:r>
      <w:r>
        <w:rPr>
          <w:rFonts w:ascii="仿宋_GB2312" w:eastAsia="仿宋_GB2312"/>
          <w:color w:val="000000"/>
          <w:sz w:val="24"/>
          <w:highlight w:val="none"/>
        </w:rPr>
        <w:t>季度</w:t>
      </w:r>
      <w:r>
        <w:rPr>
          <w:rFonts w:hint="eastAsia" w:ascii="仿宋_GB2312" w:eastAsia="仿宋_GB2312"/>
          <w:color w:val="000000"/>
          <w:sz w:val="24"/>
          <w:highlight w:val="none"/>
          <w:lang w:eastAsia="zh-CN"/>
        </w:rPr>
        <w:t>下降</w:t>
      </w:r>
      <w:r>
        <w:rPr>
          <w:rFonts w:hint="eastAsia" w:ascii="仿宋_GB2312" w:eastAsia="仿宋_GB2312"/>
          <w:color w:val="000000"/>
          <w:sz w:val="24"/>
          <w:highlight w:val="none"/>
          <w:lang w:val="en-US" w:eastAsia="zh-CN"/>
        </w:rPr>
        <w:t>0.03%</w:t>
      </w:r>
      <w:r>
        <w:rPr>
          <w:rFonts w:hint="eastAsia" w:ascii="仿宋_GB2312" w:eastAsia="仿宋_GB2312"/>
          <w:sz w:val="24"/>
          <w:highlight w:val="none"/>
        </w:rPr>
        <w:t>，</w:t>
      </w:r>
      <w:r>
        <w:rPr>
          <w:rFonts w:hint="eastAsia" w:ascii="仿宋_GB2312" w:eastAsia="仿宋_GB2312"/>
          <w:sz w:val="24"/>
          <w:highlight w:val="none"/>
        </w:rPr>
        <w:t>比上年同期同比</w:t>
      </w:r>
      <w:r>
        <w:rPr>
          <w:rFonts w:hint="eastAsia" w:ascii="仿宋_GB2312" w:eastAsia="仿宋_GB2312"/>
          <w:sz w:val="24"/>
          <w:highlight w:val="none"/>
          <w:lang w:eastAsia="zh-CN"/>
        </w:rPr>
        <w:t>增长</w:t>
      </w:r>
      <w:r>
        <w:rPr>
          <w:rFonts w:hint="eastAsia" w:ascii="仿宋_GB2312" w:eastAsia="仿宋_GB2312"/>
          <w:sz w:val="24"/>
          <w:highlight w:val="none"/>
          <w:lang w:val="en-US" w:eastAsia="zh-CN"/>
        </w:rPr>
        <w:t>0.79</w:t>
      </w:r>
      <w:r>
        <w:rPr>
          <w:rFonts w:hint="eastAsia" w:ascii="仿宋_GB2312" w:eastAsia="仿宋_GB2312"/>
          <w:sz w:val="24"/>
          <w:highlight w:val="none"/>
        </w:rPr>
        <w:t>%。</w:t>
      </w:r>
    </w:p>
    <w:p>
      <w:pPr>
        <w:ind w:right="359" w:rightChars="171" w:firstLine="420"/>
        <w:rPr>
          <w:rFonts w:hint="eastAsia" w:ascii="仿宋_GB2312" w:eastAsia="仿宋_GB2312"/>
          <w:sz w:val="24"/>
        </w:rPr>
      </w:pPr>
    </w:p>
    <w:p>
      <w:pPr>
        <w:spacing w:line="480" w:lineRule="auto"/>
        <w:ind w:right="359" w:rightChars="171" w:firstLine="560" w:firstLineChars="200"/>
        <w:rPr>
          <w:rFonts w:hint="eastAsia" w:ascii="楷体_GB2312" w:hAnsi="楷体_GB2312" w:eastAsia="楷体_GB2312" w:cs="楷体_GB2312"/>
          <w:sz w:val="28"/>
          <w:szCs w:val="28"/>
        </w:rPr>
      </w:pPr>
      <w:r>
        <w:rPr>
          <w:rFonts w:hint="eastAsia" w:ascii="楷体_GB2312" w:hAnsi="楷体_GB2312" w:eastAsia="楷体_GB2312" w:cs="楷体_GB2312"/>
          <w:sz w:val="28"/>
          <w:szCs w:val="28"/>
        </w:rPr>
        <w:t>4.其他提供住宿机构</w:t>
      </w:r>
    </w:p>
    <w:tbl>
      <w:tblPr>
        <w:tblStyle w:val="6"/>
        <w:tblpPr w:leftFromText="180" w:rightFromText="180" w:vertAnchor="text" w:horzAnchor="margin" w:tblpY="158"/>
        <w:tblW w:w="8897" w:type="dxa"/>
        <w:tblInd w:w="0" w:type="dxa"/>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
      <w:tblGrid>
        <w:gridCol w:w="3716"/>
        <w:gridCol w:w="990"/>
        <w:gridCol w:w="1431"/>
        <w:gridCol w:w="1379"/>
        <w:gridCol w:w="1381"/>
      </w:tblGrid>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54" w:hRule="atLeast"/>
        </w:trPr>
        <w:tc>
          <w:tcPr>
            <w:tcW w:w="3716" w:type="dxa"/>
            <w:tcBorders>
              <w:top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指      标</w:t>
            </w:r>
          </w:p>
        </w:tc>
        <w:tc>
          <w:tcPr>
            <w:tcW w:w="99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单 位</w:t>
            </w:r>
          </w:p>
        </w:tc>
        <w:tc>
          <w:tcPr>
            <w:tcW w:w="1431" w:type="dxa"/>
            <w:tcBorders>
              <w:top w:val="single" w:color="auto" w:sz="4" w:space="0"/>
              <w:left w:val="single" w:color="auto" w:sz="4" w:space="0"/>
              <w:bottom w:val="single" w:color="auto" w:sz="4" w:space="0"/>
              <w:right w:val="single" w:color="auto" w:sz="4" w:space="0"/>
            </w:tcBorders>
            <w:vAlign w:val="bottom"/>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数    量</w:t>
            </w:r>
          </w:p>
        </w:tc>
        <w:tc>
          <w:tcPr>
            <w:tcW w:w="1379" w:type="dxa"/>
            <w:tcBorders>
              <w:top w:val="single" w:color="auto" w:sz="4" w:space="0"/>
              <w:left w:val="single" w:color="auto" w:sz="4" w:space="0"/>
              <w:bottom w:val="single" w:color="auto" w:sz="4" w:space="0"/>
              <w:right w:val="single" w:color="auto" w:sz="4" w:space="0"/>
            </w:tcBorders>
            <w:vAlign w:val="bottom"/>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环比（%）</w:t>
            </w:r>
          </w:p>
        </w:tc>
        <w:tc>
          <w:tcPr>
            <w:tcW w:w="1381" w:type="dxa"/>
            <w:tcBorders>
              <w:top w:val="single" w:color="auto" w:sz="4" w:space="0"/>
              <w:left w:val="single" w:color="auto" w:sz="4" w:space="0"/>
              <w:bottom w:val="single" w:color="auto" w:sz="4" w:space="0"/>
            </w:tcBorders>
            <w:vAlign w:val="bottom"/>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同比（％）</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37" w:hRule="atLeast"/>
        </w:trPr>
        <w:tc>
          <w:tcPr>
            <w:tcW w:w="3716" w:type="dxa"/>
            <w:tcBorders>
              <w:top w:val="single" w:color="auto" w:sz="4" w:space="0"/>
              <w:bottom w:val="nil"/>
              <w:right w:val="single" w:color="auto" w:sz="4" w:space="0"/>
            </w:tcBorders>
            <w:vAlign w:val="bottom"/>
          </w:tcPr>
          <w:p>
            <w:pPr>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sz w:val="24"/>
                <w:szCs w:val="24"/>
              </w:rPr>
              <w:t>其他提供住宿机构数</w:t>
            </w:r>
          </w:p>
        </w:tc>
        <w:tc>
          <w:tcPr>
            <w:tcW w:w="990" w:type="dxa"/>
            <w:tcBorders>
              <w:top w:val="single" w:color="auto" w:sz="4" w:space="0"/>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个</w:t>
            </w:r>
          </w:p>
        </w:tc>
        <w:tc>
          <w:tcPr>
            <w:tcW w:w="1431" w:type="dxa"/>
            <w:tcBorders>
              <w:top w:val="single" w:color="auto" w:sz="4" w:space="0"/>
              <w:left w:val="single" w:color="auto" w:sz="4" w:space="0"/>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lang w:val="en-US" w:eastAsia="zh-CN"/>
              </w:rPr>
            </w:pPr>
            <w:r>
              <w:rPr>
                <w:rFonts w:hint="eastAsia" w:ascii="宋体" w:hAnsi="宋体" w:eastAsia="宋体" w:cs="宋体"/>
                <w:i w:val="0"/>
                <w:color w:val="000000"/>
                <w:kern w:val="0"/>
                <w:sz w:val="22"/>
                <w:szCs w:val="22"/>
                <w:u w:val="none"/>
                <w:lang w:val="en-US" w:eastAsia="zh-CN" w:bidi="ar"/>
              </w:rPr>
              <w:t>58</w:t>
            </w:r>
          </w:p>
        </w:tc>
        <w:tc>
          <w:tcPr>
            <w:tcW w:w="1379" w:type="dxa"/>
            <w:tcBorders>
              <w:top w:val="single" w:color="auto" w:sz="4" w:space="0"/>
              <w:left w:val="nil"/>
              <w:bottom w:val="nil"/>
              <w:right w:val="nil"/>
            </w:tcBorders>
            <w:vAlign w:val="bottom"/>
          </w:tcPr>
          <w:p>
            <w:pPr>
              <w:keepNext w:val="0"/>
              <w:keepLines w:val="0"/>
              <w:widowControl/>
              <w:suppressLineNumbers w:val="0"/>
              <w:jc w:val="center"/>
              <w:textAlignment w:val="bottom"/>
              <w:rPr>
                <w:rFonts w:hint="default" w:ascii="仿宋_GB2312" w:hAnsi="仿宋_GB2312" w:eastAsia="仿宋_GB2312" w:cs="仿宋_GB2312"/>
                <w:color w:val="auto"/>
                <w:kern w:val="0"/>
                <w:sz w:val="24"/>
                <w:szCs w:val="24"/>
                <w:highlight w:val="yellow"/>
                <w:lang w:val="en-US" w:eastAsia="zh-CN"/>
              </w:rPr>
            </w:pPr>
            <w:r>
              <w:rPr>
                <w:rFonts w:hint="eastAsia" w:ascii="仿宋_GB2312" w:hAnsi="仿宋_GB2312" w:eastAsia="仿宋_GB2312" w:cs="仿宋_GB2312"/>
                <w:color w:val="000000"/>
                <w:sz w:val="24"/>
                <w:szCs w:val="24"/>
                <w:lang w:val="en-US" w:eastAsia="zh-CN"/>
              </w:rPr>
              <w:t>——</w:t>
            </w:r>
          </w:p>
        </w:tc>
        <w:tc>
          <w:tcPr>
            <w:tcW w:w="1381" w:type="dxa"/>
            <w:tcBorders>
              <w:top w:val="single" w:color="auto" w:sz="4" w:space="0"/>
              <w:left w:val="nil"/>
              <w:bottom w:val="nil"/>
            </w:tcBorders>
            <w:vAlign w:val="bottom"/>
          </w:tcPr>
          <w:p>
            <w:pPr>
              <w:keepNext w:val="0"/>
              <w:keepLines w:val="0"/>
              <w:widowControl/>
              <w:suppressLineNumbers w:val="0"/>
              <w:jc w:val="center"/>
              <w:textAlignment w:val="bottom"/>
              <w:rPr>
                <w:rFonts w:hint="default" w:ascii="仿宋_GB2312" w:hAnsi="仿宋_GB2312" w:eastAsia="仿宋_GB2312" w:cs="仿宋_GB2312"/>
                <w:kern w:val="0"/>
                <w:sz w:val="24"/>
                <w:szCs w:val="24"/>
                <w:highlight w:val="yellow"/>
                <w:lang w:val="en-US" w:eastAsia="zh-CN"/>
              </w:rPr>
            </w:pPr>
            <w:r>
              <w:rPr>
                <w:rFonts w:hint="default" w:ascii="Arial" w:hAnsi="Arial" w:eastAsia="宋体" w:cs="Arial"/>
                <w:i w:val="0"/>
                <w:color w:val="000000"/>
                <w:kern w:val="0"/>
                <w:sz w:val="20"/>
                <w:szCs w:val="20"/>
                <w:u w:val="none"/>
                <w:lang w:val="en-US" w:eastAsia="zh-CN" w:bidi="ar"/>
              </w:rPr>
              <w:t>-1.69</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37" w:hRule="atLeast"/>
        </w:trPr>
        <w:tc>
          <w:tcPr>
            <w:tcW w:w="3716" w:type="dxa"/>
            <w:tcBorders>
              <w:top w:val="nil"/>
              <w:bottom w:val="single" w:color="auto" w:sz="4" w:space="0"/>
              <w:right w:val="single" w:color="auto" w:sz="4" w:space="0"/>
            </w:tcBorders>
            <w:vAlign w:val="bottom"/>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其他提供住宿</w:t>
            </w:r>
            <w:r>
              <w:rPr>
                <w:rFonts w:hint="eastAsia" w:ascii="仿宋_GB2312" w:hAnsi="仿宋_GB2312" w:eastAsia="仿宋_GB2312" w:cs="仿宋_GB2312"/>
                <w:sz w:val="24"/>
                <w:szCs w:val="24"/>
                <w:lang w:eastAsia="zh-CN"/>
              </w:rPr>
              <w:t>机构</w:t>
            </w:r>
            <w:r>
              <w:rPr>
                <w:rFonts w:hint="eastAsia" w:ascii="仿宋_GB2312" w:hAnsi="仿宋_GB2312" w:eastAsia="仿宋_GB2312" w:cs="仿宋_GB2312"/>
                <w:sz w:val="24"/>
                <w:szCs w:val="24"/>
              </w:rPr>
              <w:t>床位数</w:t>
            </w:r>
          </w:p>
        </w:tc>
        <w:tc>
          <w:tcPr>
            <w:tcW w:w="990" w:type="dxa"/>
            <w:tcBorders>
              <w:top w:val="nil"/>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张</w:t>
            </w:r>
          </w:p>
        </w:tc>
        <w:tc>
          <w:tcPr>
            <w:tcW w:w="1431" w:type="dxa"/>
            <w:tcBorders>
              <w:top w:val="nil"/>
              <w:left w:val="single" w:color="auto" w:sz="4" w:space="0"/>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lang w:val="en-US" w:eastAsia="zh-CN"/>
              </w:rPr>
            </w:pPr>
            <w:r>
              <w:rPr>
                <w:rFonts w:hint="eastAsia" w:ascii="宋体" w:hAnsi="宋体" w:eastAsia="宋体" w:cs="宋体"/>
                <w:i w:val="0"/>
                <w:color w:val="000000"/>
                <w:kern w:val="0"/>
                <w:sz w:val="22"/>
                <w:szCs w:val="22"/>
                <w:u w:val="none"/>
                <w:lang w:val="en-US" w:eastAsia="zh-CN" w:bidi="ar"/>
              </w:rPr>
              <w:t>3230</w:t>
            </w:r>
          </w:p>
        </w:tc>
        <w:tc>
          <w:tcPr>
            <w:tcW w:w="1379" w:type="dxa"/>
            <w:tcBorders>
              <w:top w:val="nil"/>
              <w:left w:val="nil"/>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lang w:val="en-US" w:eastAsia="zh-CN"/>
              </w:rPr>
            </w:pPr>
            <w:r>
              <w:rPr>
                <w:rFonts w:hint="default" w:ascii="Arial" w:hAnsi="Arial" w:eastAsia="宋体" w:cs="Arial"/>
                <w:i w:val="0"/>
                <w:color w:val="000000"/>
                <w:kern w:val="0"/>
                <w:sz w:val="20"/>
                <w:szCs w:val="20"/>
                <w:u w:val="none"/>
                <w:lang w:val="en-US" w:eastAsia="zh-CN" w:bidi="ar"/>
              </w:rPr>
              <w:t xml:space="preserve">0.62 </w:t>
            </w:r>
          </w:p>
        </w:tc>
        <w:tc>
          <w:tcPr>
            <w:tcW w:w="1381" w:type="dxa"/>
            <w:tcBorders>
              <w:top w:val="nil"/>
              <w:left w:val="nil"/>
              <w:bottom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lang w:val="en-US" w:eastAsia="zh-CN"/>
              </w:rPr>
            </w:pPr>
            <w:r>
              <w:rPr>
                <w:rFonts w:hint="default" w:ascii="Arial" w:hAnsi="Arial" w:eastAsia="宋体" w:cs="Arial"/>
                <w:i w:val="0"/>
                <w:color w:val="000000"/>
                <w:kern w:val="0"/>
                <w:sz w:val="20"/>
                <w:szCs w:val="20"/>
                <w:u w:val="none"/>
                <w:lang w:val="en-US" w:eastAsia="zh-CN" w:bidi="ar"/>
              </w:rPr>
              <w:t xml:space="preserve">0.40 </w:t>
            </w:r>
          </w:p>
        </w:tc>
      </w:tr>
    </w:tbl>
    <w:p>
      <w:pPr>
        <w:ind w:left="-359" w:leftChars="-171" w:right="359" w:rightChars="171" w:firstLine="480" w:firstLineChars="200"/>
        <w:rPr>
          <w:rFonts w:ascii="仿宋_GB2312" w:eastAsia="仿宋_GB2312"/>
          <w:sz w:val="24"/>
        </w:rPr>
      </w:pPr>
    </w:p>
    <w:p>
      <w:pPr>
        <w:ind w:right="359" w:rightChars="171" w:firstLine="420"/>
        <w:rPr>
          <w:rFonts w:hint="eastAsia" w:ascii="仿宋_GB2312" w:eastAsia="仿宋_GB2312"/>
          <w:sz w:val="24"/>
        </w:rPr>
      </w:pPr>
      <w:r>
        <w:rPr>
          <w:rFonts w:hint="eastAsia" w:ascii="仿宋_GB2312" w:eastAsia="仿宋_GB2312"/>
          <w:sz w:val="24"/>
        </w:rPr>
        <w:t>其他提供住宿机构数</w:t>
      </w:r>
      <w:r>
        <w:rPr>
          <w:rFonts w:hint="eastAsia" w:ascii="仿宋_GB2312" w:eastAsia="仿宋_GB2312"/>
          <w:sz w:val="24"/>
          <w:lang w:val="en-US" w:eastAsia="zh-CN"/>
        </w:rPr>
        <w:t>58</w:t>
      </w:r>
      <w:r>
        <w:rPr>
          <w:rFonts w:hint="eastAsia" w:ascii="仿宋_GB2312" w:eastAsia="仿宋_GB2312"/>
          <w:sz w:val="24"/>
        </w:rPr>
        <w:t>个，</w:t>
      </w:r>
      <w:r>
        <w:rPr>
          <w:rFonts w:hint="eastAsia" w:ascii="仿宋_GB2312" w:eastAsia="仿宋_GB2312"/>
          <w:sz w:val="24"/>
          <w:lang w:eastAsia="zh-CN"/>
        </w:rPr>
        <w:t>与2021年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持平</w:t>
      </w:r>
      <w:r>
        <w:rPr>
          <w:rFonts w:hint="eastAsia" w:ascii="仿宋_GB2312" w:eastAsia="仿宋_GB2312"/>
          <w:sz w:val="24"/>
        </w:rPr>
        <w:t>，比上年同期同比</w:t>
      </w:r>
      <w:r>
        <w:rPr>
          <w:rFonts w:hint="eastAsia" w:ascii="仿宋_GB2312" w:eastAsia="仿宋_GB2312"/>
          <w:sz w:val="24"/>
          <w:lang w:eastAsia="zh-CN"/>
        </w:rPr>
        <w:t>下降</w:t>
      </w:r>
      <w:r>
        <w:rPr>
          <w:rFonts w:hint="eastAsia" w:ascii="仿宋_GB2312" w:eastAsia="仿宋_GB2312"/>
          <w:sz w:val="24"/>
          <w:lang w:val="en-US" w:eastAsia="zh-CN"/>
        </w:rPr>
        <w:t>1.69</w:t>
      </w:r>
      <w:r>
        <w:rPr>
          <w:rFonts w:hint="eastAsia" w:ascii="仿宋_GB2312" w:eastAsia="仿宋_GB2312"/>
          <w:sz w:val="24"/>
        </w:rPr>
        <w:t>%。其他提供住宿服务床位数</w:t>
      </w:r>
      <w:r>
        <w:rPr>
          <w:rFonts w:hint="eastAsia" w:ascii="宋体" w:hAnsi="宋体" w:eastAsia="宋体" w:cs="宋体"/>
          <w:i w:val="0"/>
          <w:color w:val="000000"/>
          <w:kern w:val="0"/>
          <w:sz w:val="22"/>
          <w:szCs w:val="22"/>
          <w:u w:val="none"/>
          <w:lang w:val="en-US" w:eastAsia="zh-CN" w:bidi="ar"/>
        </w:rPr>
        <w:t>3230</w:t>
      </w:r>
      <w:r>
        <w:rPr>
          <w:rFonts w:hint="eastAsia" w:ascii="仿宋_GB2312" w:eastAsia="仿宋_GB2312"/>
          <w:sz w:val="24"/>
        </w:rPr>
        <w:t>张，比</w:t>
      </w:r>
      <w:r>
        <w:rPr>
          <w:rFonts w:hint="eastAsia" w:ascii="仿宋_GB2312" w:eastAsia="仿宋_GB2312"/>
          <w:sz w:val="24"/>
          <w:lang w:eastAsia="zh-CN"/>
        </w:rPr>
        <w:t>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增长</w:t>
      </w:r>
      <w:r>
        <w:rPr>
          <w:rFonts w:hint="eastAsia" w:ascii="仿宋_GB2312" w:eastAsia="仿宋_GB2312"/>
          <w:sz w:val="24"/>
          <w:lang w:val="en-US" w:eastAsia="zh-CN"/>
        </w:rPr>
        <w:t>0.62</w:t>
      </w:r>
      <w:r>
        <w:rPr>
          <w:rFonts w:hint="eastAsia" w:ascii="仿宋_GB2312" w:eastAsia="仿宋_GB2312"/>
          <w:sz w:val="24"/>
        </w:rPr>
        <w:t>%，比上年同期同比</w:t>
      </w:r>
      <w:r>
        <w:rPr>
          <w:rFonts w:hint="eastAsia" w:ascii="仿宋_GB2312" w:eastAsia="仿宋_GB2312"/>
          <w:sz w:val="24"/>
          <w:lang w:eastAsia="zh-CN"/>
        </w:rPr>
        <w:t>增长</w:t>
      </w:r>
      <w:r>
        <w:rPr>
          <w:rFonts w:hint="eastAsia" w:ascii="仿宋_GB2312" w:eastAsia="仿宋_GB2312"/>
          <w:sz w:val="24"/>
          <w:lang w:val="en-US" w:eastAsia="zh-CN"/>
        </w:rPr>
        <w:t>0.40</w:t>
      </w:r>
      <w:r>
        <w:rPr>
          <w:rFonts w:ascii="仿宋_GB2312" w:eastAsia="仿宋_GB2312"/>
          <w:sz w:val="24"/>
        </w:rPr>
        <w:t>%</w:t>
      </w:r>
      <w:r>
        <w:rPr>
          <w:rFonts w:hint="eastAsia" w:ascii="仿宋_GB2312" w:eastAsia="仿宋_GB2312"/>
          <w:sz w:val="24"/>
        </w:rPr>
        <w:t>。</w:t>
      </w:r>
    </w:p>
    <w:p>
      <w:pPr>
        <w:ind w:right="359" w:rightChars="171"/>
        <w:rPr>
          <w:rFonts w:ascii="宋体" w:hAnsi="宋体"/>
          <w:sz w:val="30"/>
          <w:szCs w:val="30"/>
        </w:rPr>
      </w:pPr>
    </w:p>
    <w:p>
      <w:pPr>
        <w:numPr>
          <w:ilvl w:val="0"/>
          <w:numId w:val="0"/>
        </w:numPr>
        <w:ind w:leftChars="0" w:right="359" w:rightChars="171"/>
        <w:rPr>
          <w:rFonts w:hint="eastAsia" w:ascii="楷体_GB2312" w:hAnsi="楷体_GB2312" w:eastAsia="楷体_GB2312" w:cs="楷体_GB2312"/>
          <w:b/>
          <w:bCs/>
          <w:color w:val="auto"/>
          <w:sz w:val="32"/>
          <w:szCs w:val="32"/>
          <w:highlight w:val="none"/>
        </w:rPr>
      </w:pPr>
      <w:r>
        <w:rPr>
          <w:rFonts w:hint="eastAsia" w:ascii="楷体_GB2312" w:hAnsi="楷体_GB2312" w:eastAsia="楷体_GB2312" w:cs="楷体_GB2312"/>
          <w:b/>
          <w:bCs/>
          <w:color w:val="auto"/>
          <w:sz w:val="32"/>
          <w:szCs w:val="32"/>
        </w:rPr>
        <w:t>（二</w:t>
      </w:r>
      <w:r>
        <w:rPr>
          <w:rFonts w:hint="eastAsia" w:ascii="楷体_GB2312" w:hAnsi="楷体_GB2312" w:eastAsia="楷体_GB2312" w:cs="楷体_GB2312"/>
          <w:b/>
          <w:bCs/>
          <w:color w:val="auto"/>
          <w:sz w:val="32"/>
          <w:szCs w:val="32"/>
          <w:highlight w:val="none"/>
        </w:rPr>
        <w:t>）不提供住宿的社会</w:t>
      </w:r>
      <w:r>
        <w:rPr>
          <w:rFonts w:hint="eastAsia" w:ascii="楷体_GB2312" w:hAnsi="楷体_GB2312" w:eastAsia="楷体_GB2312" w:cs="楷体_GB2312"/>
          <w:b/>
          <w:bCs/>
          <w:color w:val="auto"/>
          <w:sz w:val="32"/>
          <w:szCs w:val="32"/>
          <w:highlight w:val="none"/>
          <w:lang w:eastAsia="zh-CN"/>
        </w:rPr>
        <w:t>工作</w:t>
      </w:r>
    </w:p>
    <w:tbl>
      <w:tblPr>
        <w:tblStyle w:val="6"/>
        <w:tblpPr w:leftFromText="180" w:rightFromText="180" w:vertAnchor="text" w:horzAnchor="margin" w:tblpY="158"/>
        <w:tblW w:w="8755" w:type="dxa"/>
        <w:tblInd w:w="0" w:type="dxa"/>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
      <w:tblGrid>
        <w:gridCol w:w="3866"/>
        <w:gridCol w:w="900"/>
        <w:gridCol w:w="1250"/>
        <w:gridCol w:w="1475"/>
        <w:gridCol w:w="1264"/>
      </w:tblGrid>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866" w:type="dxa"/>
            <w:tcBorders>
              <w:top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指      标</w:t>
            </w:r>
          </w:p>
        </w:tc>
        <w:tc>
          <w:tcPr>
            <w:tcW w:w="90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单 位</w:t>
            </w:r>
          </w:p>
        </w:tc>
        <w:tc>
          <w:tcPr>
            <w:tcW w:w="1250" w:type="dxa"/>
            <w:tcBorders>
              <w:top w:val="single" w:color="auto" w:sz="4" w:space="0"/>
              <w:left w:val="single" w:color="auto" w:sz="4" w:space="0"/>
              <w:bottom w:val="single" w:color="auto" w:sz="4" w:space="0"/>
              <w:right w:val="single" w:color="auto" w:sz="4" w:space="0"/>
            </w:tcBorders>
            <w:vAlign w:val="bottom"/>
          </w:tcPr>
          <w:p>
            <w:pPr>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数    量</w:t>
            </w:r>
          </w:p>
        </w:tc>
        <w:tc>
          <w:tcPr>
            <w:tcW w:w="1475" w:type="dxa"/>
            <w:tcBorders>
              <w:top w:val="single" w:color="auto" w:sz="4" w:space="0"/>
              <w:left w:val="single" w:color="auto" w:sz="4" w:space="0"/>
              <w:bottom w:val="single" w:color="auto" w:sz="4" w:space="0"/>
              <w:right w:val="single" w:color="auto" w:sz="4" w:space="0"/>
            </w:tcBorders>
            <w:vAlign w:val="bottom"/>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环比（%）</w:t>
            </w:r>
          </w:p>
        </w:tc>
        <w:tc>
          <w:tcPr>
            <w:tcW w:w="1264" w:type="dxa"/>
            <w:tcBorders>
              <w:top w:val="single" w:color="auto" w:sz="4" w:space="0"/>
              <w:left w:val="single" w:color="auto" w:sz="4" w:space="0"/>
              <w:bottom w:val="single" w:color="auto" w:sz="4" w:space="0"/>
            </w:tcBorders>
            <w:vAlign w:val="bottom"/>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同比（％）</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424" w:hRule="atLeast"/>
        </w:trPr>
        <w:tc>
          <w:tcPr>
            <w:tcW w:w="3866" w:type="dxa"/>
            <w:tcBorders>
              <w:top w:val="single" w:color="auto" w:sz="4" w:space="0"/>
              <w:bottom w:val="single" w:color="auto" w:sz="4" w:space="0"/>
              <w:right w:val="single" w:color="auto" w:sz="4" w:space="0"/>
            </w:tcBorders>
            <w:vAlign w:val="bottom"/>
          </w:tcPr>
          <w:p>
            <w:pPr>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不提供住宿</w:t>
            </w:r>
            <w:r>
              <w:rPr>
                <w:rFonts w:hint="eastAsia" w:ascii="仿宋_GB2312" w:hAnsi="仿宋_GB2312" w:eastAsia="仿宋_GB2312" w:cs="仿宋_GB2312"/>
                <w:kern w:val="0"/>
                <w:sz w:val="24"/>
                <w:szCs w:val="24"/>
                <w:lang w:eastAsia="zh-CN"/>
              </w:rPr>
              <w:t>的民政</w:t>
            </w:r>
            <w:r>
              <w:rPr>
                <w:rFonts w:hint="eastAsia" w:ascii="仿宋_GB2312" w:hAnsi="仿宋_GB2312" w:eastAsia="仿宋_GB2312" w:cs="仿宋_GB2312"/>
                <w:kern w:val="0"/>
                <w:sz w:val="24"/>
                <w:szCs w:val="24"/>
              </w:rPr>
              <w:t>机构和设施数</w:t>
            </w:r>
          </w:p>
        </w:tc>
        <w:tc>
          <w:tcPr>
            <w:tcW w:w="90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个</w:t>
            </w:r>
          </w:p>
        </w:tc>
        <w:tc>
          <w:tcPr>
            <w:tcW w:w="1250" w:type="dxa"/>
            <w:tcBorders>
              <w:top w:val="single" w:color="auto" w:sz="4" w:space="0"/>
              <w:left w:val="single" w:color="auto" w:sz="4" w:space="0"/>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lang w:val="en-US" w:eastAsia="zh-CN"/>
              </w:rPr>
            </w:pPr>
            <w:r>
              <w:rPr>
                <w:rFonts w:hint="eastAsia" w:ascii="宋体" w:hAnsi="宋体" w:eastAsia="宋体" w:cs="宋体"/>
                <w:i w:val="0"/>
                <w:color w:val="000000"/>
                <w:kern w:val="0"/>
                <w:sz w:val="22"/>
                <w:szCs w:val="22"/>
                <w:u w:val="none"/>
                <w:lang w:val="en-US" w:eastAsia="zh-CN" w:bidi="ar"/>
              </w:rPr>
              <w:t>29490</w:t>
            </w:r>
          </w:p>
        </w:tc>
        <w:tc>
          <w:tcPr>
            <w:tcW w:w="1475" w:type="dxa"/>
            <w:tcBorders>
              <w:top w:val="single" w:color="auto" w:sz="4" w:space="0"/>
              <w:left w:val="nil"/>
              <w:bottom w:val="single" w:color="auto" w:sz="4" w:space="0"/>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highlight w:val="yellow"/>
                <w:lang w:val="en-US" w:eastAsia="zh-CN"/>
              </w:rPr>
            </w:pPr>
            <w:r>
              <w:rPr>
                <w:rFonts w:hint="default" w:ascii="Arial" w:hAnsi="Arial" w:eastAsia="宋体" w:cs="Arial"/>
                <w:i w:val="0"/>
                <w:color w:val="000000"/>
                <w:kern w:val="0"/>
                <w:sz w:val="20"/>
                <w:szCs w:val="20"/>
                <w:u w:val="none"/>
                <w:lang w:val="en-US" w:eastAsia="zh-CN" w:bidi="ar"/>
              </w:rPr>
              <w:t xml:space="preserve">-0.12 </w:t>
            </w:r>
          </w:p>
        </w:tc>
        <w:tc>
          <w:tcPr>
            <w:tcW w:w="1264" w:type="dxa"/>
            <w:tcBorders>
              <w:top w:val="single" w:color="auto" w:sz="4" w:space="0"/>
              <w:left w:val="nil"/>
              <w:bottom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kern w:val="0"/>
                <w:sz w:val="24"/>
                <w:szCs w:val="24"/>
                <w:highlight w:val="yellow"/>
                <w:lang w:val="en-US" w:eastAsia="zh-CN"/>
              </w:rPr>
            </w:pPr>
            <w:r>
              <w:rPr>
                <w:rFonts w:hint="default" w:ascii="Arial" w:hAnsi="Arial" w:eastAsia="宋体" w:cs="Arial"/>
                <w:i w:val="0"/>
                <w:color w:val="000000"/>
                <w:kern w:val="0"/>
                <w:sz w:val="20"/>
                <w:szCs w:val="20"/>
                <w:u w:val="none"/>
                <w:lang w:val="en-US" w:eastAsia="zh-CN" w:bidi="ar"/>
              </w:rPr>
              <w:t xml:space="preserve">24.32 </w:t>
            </w:r>
          </w:p>
        </w:tc>
      </w:tr>
    </w:tbl>
    <w:p>
      <w:pPr>
        <w:ind w:right="359" w:rightChars="171"/>
        <w:rPr>
          <w:rFonts w:hint="eastAsia" w:ascii="仿宋_GB2312" w:eastAsia="仿宋_GB2312"/>
          <w:sz w:val="24"/>
        </w:rPr>
      </w:pPr>
    </w:p>
    <w:p>
      <w:pPr>
        <w:ind w:right="359" w:rightChars="171" w:firstLine="480" w:firstLineChars="200"/>
        <w:rPr>
          <w:rFonts w:hint="eastAsia" w:ascii="仿宋_GB2312" w:eastAsia="仿宋_GB2312"/>
          <w:sz w:val="24"/>
        </w:rPr>
      </w:pPr>
    </w:p>
    <w:p>
      <w:pPr>
        <w:ind w:right="359" w:rightChars="171" w:firstLine="480" w:firstLineChars="200"/>
        <w:rPr>
          <w:rFonts w:hint="eastAsia" w:ascii="仿宋_GB2312" w:eastAsia="仿宋_GB2312"/>
          <w:sz w:val="24"/>
        </w:rPr>
      </w:pPr>
    </w:p>
    <w:p>
      <w:pPr>
        <w:ind w:right="359" w:rightChars="171" w:firstLine="480" w:firstLineChars="200"/>
        <w:rPr>
          <w:rFonts w:hint="eastAsia" w:ascii="仿宋_GB2312" w:eastAsia="仿宋_GB2312"/>
          <w:sz w:val="24"/>
        </w:rPr>
      </w:pPr>
    </w:p>
    <w:p>
      <w:pPr>
        <w:ind w:right="359" w:rightChars="171" w:firstLine="480" w:firstLineChars="200"/>
        <w:rPr>
          <w:rFonts w:ascii="仿宋_GB2312" w:eastAsia="仿宋_GB2312"/>
          <w:sz w:val="24"/>
        </w:rPr>
      </w:pPr>
      <w:r>
        <w:rPr>
          <w:rFonts w:hint="eastAsia" w:ascii="仿宋_GB2312" w:eastAsia="仿宋_GB2312"/>
          <w:sz w:val="24"/>
        </w:rPr>
        <w:t>截至</w:t>
      </w:r>
      <w:r>
        <w:rPr>
          <w:rFonts w:hint="eastAsia" w:ascii="仿宋_GB2312" w:eastAsia="仿宋_GB2312"/>
          <w:sz w:val="24"/>
          <w:lang w:eastAsia="zh-CN"/>
        </w:rPr>
        <w:t>2021年</w:t>
      </w:r>
      <w:r>
        <w:rPr>
          <w:rFonts w:hint="eastAsia" w:ascii="仿宋_GB2312" w:eastAsia="仿宋_GB2312"/>
          <w:sz w:val="24"/>
          <w:lang w:val="en-US" w:eastAsia="zh-CN"/>
        </w:rPr>
        <w:t>9月底</w:t>
      </w:r>
      <w:r>
        <w:rPr>
          <w:rFonts w:hint="eastAsia" w:ascii="仿宋_GB2312" w:eastAsia="仿宋_GB2312"/>
          <w:sz w:val="24"/>
        </w:rPr>
        <w:t>，全</w:t>
      </w:r>
      <w:r>
        <w:rPr>
          <w:rFonts w:hint="eastAsia" w:ascii="仿宋_GB2312" w:eastAsia="仿宋_GB2312"/>
          <w:sz w:val="24"/>
          <w:lang w:eastAsia="zh-CN"/>
        </w:rPr>
        <w:t>省</w:t>
      </w:r>
      <w:r>
        <w:rPr>
          <w:rFonts w:hint="eastAsia" w:ascii="仿宋_GB2312" w:eastAsia="仿宋_GB2312"/>
          <w:sz w:val="24"/>
        </w:rPr>
        <w:t>共有不提供住宿的社会服务机构和设施数</w:t>
      </w:r>
      <w:r>
        <w:rPr>
          <w:rFonts w:hint="eastAsia" w:ascii="宋体" w:hAnsi="宋体" w:eastAsia="宋体" w:cs="宋体"/>
          <w:i w:val="0"/>
          <w:color w:val="000000"/>
          <w:kern w:val="0"/>
          <w:sz w:val="22"/>
          <w:szCs w:val="22"/>
          <w:u w:val="none"/>
          <w:lang w:val="en-US" w:eastAsia="zh-CN" w:bidi="ar"/>
        </w:rPr>
        <w:t>29490</w:t>
      </w:r>
      <w:r>
        <w:rPr>
          <w:rFonts w:hint="eastAsia" w:ascii="仿宋_GB2312" w:eastAsia="仿宋_GB2312"/>
          <w:sz w:val="24"/>
        </w:rPr>
        <w:t>个，</w:t>
      </w:r>
      <w:r>
        <w:rPr>
          <w:rFonts w:hint="eastAsia" w:ascii="仿宋_GB2312" w:eastAsia="仿宋_GB2312"/>
          <w:sz w:val="24"/>
          <w:lang w:eastAsia="zh-CN"/>
        </w:rPr>
        <w:t>比2021年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下降</w:t>
      </w:r>
      <w:r>
        <w:rPr>
          <w:rFonts w:hint="eastAsia" w:ascii="仿宋_GB2312" w:eastAsia="仿宋_GB2312"/>
          <w:sz w:val="24"/>
          <w:lang w:val="en-US" w:eastAsia="zh-CN"/>
        </w:rPr>
        <w:t>0.12%</w:t>
      </w:r>
      <w:r>
        <w:rPr>
          <w:rFonts w:hint="eastAsia" w:ascii="仿宋_GB2312" w:eastAsia="仿宋_GB2312"/>
          <w:sz w:val="24"/>
        </w:rPr>
        <w:t>，比上年同期同比</w:t>
      </w:r>
      <w:r>
        <w:rPr>
          <w:rFonts w:hint="eastAsia" w:ascii="仿宋_GB2312" w:eastAsia="仿宋_GB2312"/>
          <w:sz w:val="24"/>
          <w:lang w:eastAsia="zh-CN"/>
        </w:rPr>
        <w:t>增长</w:t>
      </w:r>
      <w:r>
        <w:rPr>
          <w:rFonts w:hint="eastAsia" w:ascii="仿宋_GB2312" w:eastAsia="仿宋_GB2312"/>
          <w:sz w:val="24"/>
          <w:lang w:val="en-US" w:eastAsia="zh-CN"/>
        </w:rPr>
        <w:t>24.32</w:t>
      </w:r>
      <w:r>
        <w:rPr>
          <w:rFonts w:hint="eastAsia" w:ascii="仿宋_GB2312" w:eastAsia="仿宋_GB2312"/>
          <w:sz w:val="24"/>
        </w:rPr>
        <w:t>%。</w:t>
      </w:r>
    </w:p>
    <w:p>
      <w:pPr>
        <w:spacing w:line="480" w:lineRule="auto"/>
        <w:ind w:right="359" w:rightChars="171"/>
        <w:rPr>
          <w:rFonts w:hint="eastAsia" w:ascii="楷体_GB2312" w:hAnsi="楷体_GB2312" w:eastAsia="楷体_GB2312" w:cs="楷体_GB2312"/>
          <w:sz w:val="28"/>
          <w:szCs w:val="28"/>
        </w:rPr>
      </w:pPr>
    </w:p>
    <w:p>
      <w:pPr>
        <w:spacing w:line="480" w:lineRule="auto"/>
        <w:ind w:right="359" w:rightChars="171" w:firstLine="560" w:firstLineChars="200"/>
        <w:rPr>
          <w:rFonts w:hint="eastAsia" w:ascii="楷体_GB2312" w:hAnsi="楷体_GB2312" w:eastAsia="楷体_GB2312" w:cs="楷体_GB2312"/>
          <w:sz w:val="28"/>
          <w:szCs w:val="28"/>
          <w:highlight w:val="none"/>
        </w:rPr>
      </w:pPr>
      <w:r>
        <w:rPr>
          <w:rFonts w:hint="eastAsia" w:ascii="楷体_GB2312" w:hAnsi="楷体_GB2312" w:eastAsia="楷体_GB2312" w:cs="楷体_GB2312"/>
          <w:sz w:val="28"/>
          <w:szCs w:val="28"/>
          <w:highlight w:val="none"/>
        </w:rPr>
        <w:t xml:space="preserve"> 1.为居民提供的社区服务</w:t>
      </w:r>
    </w:p>
    <w:tbl>
      <w:tblPr>
        <w:tblStyle w:val="6"/>
        <w:tblW w:w="8647" w:type="dxa"/>
        <w:tblInd w:w="108" w:type="dxa"/>
        <w:tblLayout w:type="fixed"/>
        <w:tblCellMar>
          <w:top w:w="0" w:type="dxa"/>
          <w:left w:w="108" w:type="dxa"/>
          <w:bottom w:w="0" w:type="dxa"/>
          <w:right w:w="108" w:type="dxa"/>
        </w:tblCellMar>
      </w:tblPr>
      <w:tblGrid>
        <w:gridCol w:w="4633"/>
        <w:gridCol w:w="700"/>
        <w:gridCol w:w="888"/>
        <w:gridCol w:w="1237"/>
        <w:gridCol w:w="1189"/>
      </w:tblGrid>
      <w:tr>
        <w:tblPrEx>
          <w:tblLayout w:type="fixed"/>
          <w:tblCellMar>
            <w:top w:w="0" w:type="dxa"/>
            <w:left w:w="108" w:type="dxa"/>
            <w:bottom w:w="0" w:type="dxa"/>
            <w:right w:w="108" w:type="dxa"/>
          </w:tblCellMar>
        </w:tblPrEx>
        <w:trPr>
          <w:trHeight w:val="285" w:hRule="atLeast"/>
        </w:trPr>
        <w:tc>
          <w:tcPr>
            <w:tcW w:w="4633"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color w:val="000000"/>
                <w:sz w:val="24"/>
                <w:szCs w:val="24"/>
                <w:highlight w:val="none"/>
              </w:rPr>
            </w:pPr>
            <w:r>
              <w:rPr>
                <w:rFonts w:hint="eastAsia" w:ascii="仿宋_GB2312" w:hAnsi="仿宋_GB2312" w:eastAsia="仿宋_GB2312" w:cs="仿宋_GB2312"/>
                <w:b/>
                <w:color w:val="000000"/>
                <w:sz w:val="24"/>
                <w:szCs w:val="24"/>
                <w:highlight w:val="none"/>
              </w:rPr>
              <w:t>指      标</w:t>
            </w:r>
          </w:p>
        </w:tc>
        <w:tc>
          <w:tcPr>
            <w:tcW w:w="70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color w:val="000000"/>
                <w:sz w:val="24"/>
                <w:szCs w:val="24"/>
                <w:highlight w:val="none"/>
              </w:rPr>
            </w:pPr>
            <w:r>
              <w:rPr>
                <w:rFonts w:hint="eastAsia" w:ascii="仿宋_GB2312" w:hAnsi="仿宋_GB2312" w:eastAsia="仿宋_GB2312" w:cs="仿宋_GB2312"/>
                <w:b/>
                <w:color w:val="000000"/>
                <w:sz w:val="24"/>
                <w:szCs w:val="24"/>
                <w:highlight w:val="none"/>
              </w:rPr>
              <w:t>单位</w:t>
            </w:r>
          </w:p>
        </w:tc>
        <w:tc>
          <w:tcPr>
            <w:tcW w:w="888"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color w:val="000000"/>
                <w:sz w:val="24"/>
                <w:szCs w:val="24"/>
                <w:highlight w:val="none"/>
              </w:rPr>
            </w:pPr>
            <w:r>
              <w:rPr>
                <w:rFonts w:hint="eastAsia" w:ascii="仿宋_GB2312" w:hAnsi="仿宋_GB2312" w:eastAsia="仿宋_GB2312" w:cs="仿宋_GB2312"/>
                <w:b/>
                <w:color w:val="000000"/>
                <w:sz w:val="24"/>
                <w:szCs w:val="24"/>
                <w:highlight w:val="none"/>
              </w:rPr>
              <w:t>数量</w:t>
            </w:r>
          </w:p>
        </w:tc>
        <w:tc>
          <w:tcPr>
            <w:tcW w:w="1237"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color w:val="000000"/>
                <w:sz w:val="24"/>
                <w:szCs w:val="24"/>
                <w:highlight w:val="none"/>
              </w:rPr>
            </w:pPr>
            <w:r>
              <w:rPr>
                <w:rFonts w:hint="eastAsia" w:ascii="仿宋_GB2312" w:hAnsi="仿宋_GB2312" w:eastAsia="仿宋_GB2312" w:cs="仿宋_GB2312"/>
                <w:b/>
                <w:color w:val="000000"/>
                <w:sz w:val="24"/>
                <w:szCs w:val="24"/>
                <w:highlight w:val="none"/>
              </w:rPr>
              <w:t>环比（%）</w:t>
            </w:r>
          </w:p>
        </w:tc>
        <w:tc>
          <w:tcPr>
            <w:tcW w:w="1189" w:type="dxa"/>
            <w:tcBorders>
              <w:top w:val="single" w:color="auto" w:sz="4" w:space="0"/>
              <w:left w:val="single" w:color="auto" w:sz="4" w:space="0"/>
              <w:bottom w:val="single" w:color="auto" w:sz="4" w:space="0"/>
              <w:right w:val="nil"/>
            </w:tcBorders>
            <w:vAlign w:val="center"/>
          </w:tcPr>
          <w:p>
            <w:pPr>
              <w:widowControl/>
              <w:jc w:val="center"/>
              <w:rPr>
                <w:rFonts w:hint="eastAsia" w:ascii="仿宋_GB2312" w:hAnsi="仿宋_GB2312" w:eastAsia="仿宋_GB2312" w:cs="仿宋_GB2312"/>
                <w:b/>
                <w:color w:val="000000"/>
                <w:sz w:val="24"/>
                <w:szCs w:val="24"/>
                <w:highlight w:val="none"/>
              </w:rPr>
            </w:pPr>
            <w:r>
              <w:rPr>
                <w:rFonts w:hint="eastAsia" w:ascii="仿宋_GB2312" w:hAnsi="仿宋_GB2312" w:eastAsia="仿宋_GB2312" w:cs="仿宋_GB2312"/>
                <w:b/>
                <w:color w:val="000000"/>
                <w:sz w:val="24"/>
                <w:szCs w:val="24"/>
                <w:highlight w:val="none"/>
              </w:rPr>
              <w:t>同比（％）</w:t>
            </w:r>
          </w:p>
        </w:tc>
      </w:tr>
      <w:tr>
        <w:tblPrEx>
          <w:tblLayout w:type="fixed"/>
          <w:tblCellMar>
            <w:top w:w="0" w:type="dxa"/>
            <w:left w:w="108" w:type="dxa"/>
            <w:bottom w:w="0" w:type="dxa"/>
            <w:right w:w="108" w:type="dxa"/>
          </w:tblCellMar>
        </w:tblPrEx>
        <w:trPr>
          <w:trHeight w:val="285" w:hRule="atLeast"/>
        </w:trPr>
        <w:tc>
          <w:tcPr>
            <w:tcW w:w="4633" w:type="dxa"/>
            <w:tcBorders>
              <w:left w:val="nil"/>
              <w:right w:val="single" w:color="auto" w:sz="4" w:space="0"/>
            </w:tcBorders>
            <w:vAlign w:val="center"/>
          </w:tcPr>
          <w:p>
            <w:pPr>
              <w:widowControl/>
              <w:ind w:firstLine="480" w:firstLineChars="200"/>
              <w:jc w:val="left"/>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sz w:val="24"/>
                <w:szCs w:val="24"/>
                <w:highlight w:val="none"/>
              </w:rPr>
              <w:t>社区服务指导中心</w:t>
            </w:r>
          </w:p>
        </w:tc>
        <w:tc>
          <w:tcPr>
            <w:tcW w:w="700" w:type="dxa"/>
            <w:tcBorders>
              <w:left w:val="single" w:color="auto" w:sz="4" w:space="0"/>
              <w:right w:val="single" w:color="auto" w:sz="4" w:space="0"/>
            </w:tcBorders>
            <w:vAlign w:val="center"/>
          </w:tcPr>
          <w:p>
            <w:pPr>
              <w:widowControl/>
              <w:jc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sz w:val="24"/>
                <w:szCs w:val="24"/>
                <w:highlight w:val="none"/>
              </w:rPr>
              <w:t>个</w:t>
            </w:r>
          </w:p>
        </w:tc>
        <w:tc>
          <w:tcPr>
            <w:tcW w:w="888" w:type="dxa"/>
            <w:tcBorders>
              <w:left w:val="single" w:color="auto"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4"/>
                <w:szCs w:val="24"/>
                <w:highlight w:val="none"/>
                <w:lang w:val="en-US" w:eastAsia="zh-CN"/>
              </w:rPr>
            </w:pPr>
            <w:r>
              <w:rPr>
                <w:rFonts w:hint="eastAsia" w:ascii="宋体" w:hAnsi="宋体" w:eastAsia="宋体" w:cs="宋体"/>
                <w:i w:val="0"/>
                <w:color w:val="000000"/>
                <w:kern w:val="0"/>
                <w:sz w:val="22"/>
                <w:szCs w:val="22"/>
                <w:u w:val="none"/>
                <w:lang w:val="en-US" w:eastAsia="zh-CN" w:bidi="ar"/>
              </w:rPr>
              <w:t>9</w:t>
            </w:r>
          </w:p>
        </w:tc>
        <w:tc>
          <w:tcPr>
            <w:tcW w:w="1237" w:type="dxa"/>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4"/>
                <w:szCs w:val="24"/>
                <w:highlight w:val="none"/>
                <w:lang w:val="en-US" w:eastAsia="zh-CN"/>
              </w:rPr>
            </w:pPr>
            <w:r>
              <w:rPr>
                <w:rFonts w:hint="eastAsia" w:ascii="仿宋_GB2312" w:hAnsi="Arial" w:eastAsia="仿宋_GB2312" w:cs="仿宋_GB2312"/>
                <w:i w:val="0"/>
                <w:color w:val="000000"/>
                <w:kern w:val="0"/>
                <w:sz w:val="24"/>
                <w:szCs w:val="24"/>
                <w:u w:val="none"/>
                <w:lang w:val="en-US" w:eastAsia="zh-CN" w:bidi="ar"/>
              </w:rPr>
              <w:t>——</w:t>
            </w:r>
          </w:p>
        </w:tc>
        <w:tc>
          <w:tcPr>
            <w:tcW w:w="1189" w:type="dxa"/>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4"/>
                <w:szCs w:val="24"/>
                <w:highlight w:val="none"/>
                <w:lang w:val="en-US" w:eastAsia="zh-CN"/>
              </w:rPr>
            </w:pPr>
            <w:r>
              <w:rPr>
                <w:rFonts w:hint="default" w:ascii="Arial" w:hAnsi="Arial" w:eastAsia="宋体" w:cs="Arial"/>
                <w:i w:val="0"/>
                <w:color w:val="000000"/>
                <w:kern w:val="0"/>
                <w:sz w:val="20"/>
                <w:szCs w:val="20"/>
                <w:u w:val="none"/>
                <w:lang w:val="en-US" w:eastAsia="zh-CN" w:bidi="ar"/>
              </w:rPr>
              <w:t xml:space="preserve">-18.18 </w:t>
            </w:r>
          </w:p>
        </w:tc>
      </w:tr>
      <w:tr>
        <w:tblPrEx>
          <w:tblLayout w:type="fixed"/>
          <w:tblCellMar>
            <w:top w:w="0" w:type="dxa"/>
            <w:left w:w="108" w:type="dxa"/>
            <w:bottom w:w="0" w:type="dxa"/>
            <w:right w:w="108" w:type="dxa"/>
          </w:tblCellMar>
        </w:tblPrEx>
        <w:trPr>
          <w:trHeight w:val="285" w:hRule="atLeast"/>
        </w:trPr>
        <w:tc>
          <w:tcPr>
            <w:tcW w:w="4633" w:type="dxa"/>
            <w:tcBorders>
              <w:left w:val="nil"/>
              <w:right w:val="single" w:color="auto" w:sz="4" w:space="0"/>
            </w:tcBorders>
            <w:vAlign w:val="center"/>
          </w:tcPr>
          <w:p>
            <w:pPr>
              <w:widowControl/>
              <w:ind w:firstLine="480" w:firstLineChars="200"/>
              <w:jc w:val="left"/>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sz w:val="24"/>
                <w:szCs w:val="24"/>
                <w:highlight w:val="none"/>
              </w:rPr>
              <w:t>社区服务中心</w:t>
            </w:r>
          </w:p>
        </w:tc>
        <w:tc>
          <w:tcPr>
            <w:tcW w:w="700" w:type="dxa"/>
            <w:tcBorders>
              <w:left w:val="single" w:color="auto" w:sz="4" w:space="0"/>
              <w:right w:val="single" w:color="auto" w:sz="4" w:space="0"/>
            </w:tcBorders>
            <w:vAlign w:val="center"/>
          </w:tcPr>
          <w:p>
            <w:pPr>
              <w:widowControl/>
              <w:jc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sz w:val="24"/>
                <w:szCs w:val="24"/>
                <w:highlight w:val="none"/>
              </w:rPr>
              <w:t>个</w:t>
            </w:r>
          </w:p>
        </w:tc>
        <w:tc>
          <w:tcPr>
            <w:tcW w:w="888" w:type="dxa"/>
            <w:tcBorders>
              <w:top w:val="nil"/>
              <w:left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highlight w:val="none"/>
                <w:lang w:val="en-US" w:eastAsia="zh-CN"/>
              </w:rPr>
            </w:pPr>
            <w:r>
              <w:rPr>
                <w:rFonts w:hint="eastAsia" w:ascii="宋体" w:hAnsi="宋体" w:eastAsia="宋体" w:cs="宋体"/>
                <w:i w:val="0"/>
                <w:color w:val="000000"/>
                <w:kern w:val="0"/>
                <w:sz w:val="22"/>
                <w:szCs w:val="22"/>
                <w:u w:val="none"/>
                <w:lang w:val="en-US" w:eastAsia="zh-CN" w:bidi="ar"/>
              </w:rPr>
              <w:t>1479</w:t>
            </w:r>
          </w:p>
        </w:tc>
        <w:tc>
          <w:tcPr>
            <w:tcW w:w="1237"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highlight w:val="none"/>
                <w:lang w:val="en-US" w:eastAsia="zh-CN"/>
              </w:rPr>
            </w:pPr>
            <w:r>
              <w:rPr>
                <w:rFonts w:hint="default" w:ascii="Arial" w:hAnsi="Arial" w:eastAsia="宋体" w:cs="Arial"/>
                <w:i w:val="0"/>
                <w:color w:val="000000"/>
                <w:kern w:val="0"/>
                <w:sz w:val="20"/>
                <w:szCs w:val="20"/>
                <w:u w:val="none"/>
                <w:lang w:val="en-US" w:eastAsia="zh-CN" w:bidi="ar"/>
              </w:rPr>
              <w:t xml:space="preserve">-0.74 </w:t>
            </w:r>
          </w:p>
        </w:tc>
        <w:tc>
          <w:tcPr>
            <w:tcW w:w="1189"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highlight w:val="none"/>
                <w:lang w:val="en-US" w:eastAsia="zh-CN"/>
              </w:rPr>
            </w:pPr>
            <w:r>
              <w:rPr>
                <w:rFonts w:hint="default" w:ascii="Arial" w:hAnsi="Arial" w:eastAsia="宋体" w:cs="Arial"/>
                <w:i w:val="0"/>
                <w:color w:val="000000"/>
                <w:kern w:val="0"/>
                <w:sz w:val="20"/>
                <w:szCs w:val="20"/>
                <w:u w:val="none"/>
                <w:lang w:val="en-US" w:eastAsia="zh-CN" w:bidi="ar"/>
              </w:rPr>
              <w:t xml:space="preserve">5.72 </w:t>
            </w:r>
          </w:p>
        </w:tc>
      </w:tr>
      <w:tr>
        <w:tblPrEx>
          <w:tblLayout w:type="fixed"/>
          <w:tblCellMar>
            <w:top w:w="0" w:type="dxa"/>
            <w:left w:w="108" w:type="dxa"/>
            <w:bottom w:w="0" w:type="dxa"/>
            <w:right w:w="108" w:type="dxa"/>
          </w:tblCellMar>
        </w:tblPrEx>
        <w:trPr>
          <w:trHeight w:val="285" w:hRule="atLeast"/>
        </w:trPr>
        <w:tc>
          <w:tcPr>
            <w:tcW w:w="4633" w:type="dxa"/>
            <w:tcBorders>
              <w:left w:val="nil"/>
              <w:right w:val="single" w:color="auto" w:sz="4" w:space="0"/>
            </w:tcBorders>
            <w:vAlign w:val="center"/>
          </w:tcPr>
          <w:p>
            <w:pPr>
              <w:widowControl/>
              <w:ind w:firstLine="480" w:firstLineChars="200"/>
              <w:jc w:val="left"/>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sz w:val="24"/>
                <w:szCs w:val="24"/>
                <w:highlight w:val="none"/>
              </w:rPr>
              <w:t>社区服务站</w:t>
            </w:r>
          </w:p>
        </w:tc>
        <w:tc>
          <w:tcPr>
            <w:tcW w:w="700" w:type="dxa"/>
            <w:tcBorders>
              <w:left w:val="single" w:color="auto" w:sz="4" w:space="0"/>
              <w:right w:val="single" w:color="auto" w:sz="4" w:space="0"/>
            </w:tcBorders>
            <w:vAlign w:val="center"/>
          </w:tcPr>
          <w:p>
            <w:pPr>
              <w:widowControl/>
              <w:jc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sz w:val="24"/>
                <w:szCs w:val="24"/>
                <w:highlight w:val="none"/>
              </w:rPr>
              <w:t>个</w:t>
            </w:r>
          </w:p>
        </w:tc>
        <w:tc>
          <w:tcPr>
            <w:tcW w:w="888" w:type="dxa"/>
            <w:tcBorders>
              <w:top w:val="nil"/>
              <w:left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highlight w:val="none"/>
                <w:lang w:val="en-US" w:eastAsia="zh-CN"/>
              </w:rPr>
            </w:pPr>
            <w:r>
              <w:rPr>
                <w:rFonts w:hint="eastAsia" w:ascii="宋体" w:hAnsi="宋体" w:eastAsia="宋体" w:cs="宋体"/>
                <w:i w:val="0"/>
                <w:color w:val="000000"/>
                <w:kern w:val="0"/>
                <w:sz w:val="22"/>
                <w:szCs w:val="22"/>
                <w:u w:val="none"/>
                <w:lang w:val="en-US" w:eastAsia="zh-CN" w:bidi="ar"/>
              </w:rPr>
              <w:t>18053</w:t>
            </w:r>
          </w:p>
        </w:tc>
        <w:tc>
          <w:tcPr>
            <w:tcW w:w="1237"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highlight w:val="none"/>
                <w:lang w:val="en-US" w:eastAsia="zh-CN"/>
              </w:rPr>
            </w:pPr>
            <w:r>
              <w:rPr>
                <w:rFonts w:hint="default" w:ascii="Arial" w:hAnsi="Arial" w:eastAsia="宋体" w:cs="Arial"/>
                <w:i w:val="0"/>
                <w:color w:val="000000"/>
                <w:kern w:val="0"/>
                <w:sz w:val="20"/>
                <w:szCs w:val="20"/>
                <w:u w:val="none"/>
                <w:lang w:val="en-US" w:eastAsia="zh-CN" w:bidi="ar"/>
              </w:rPr>
              <w:t xml:space="preserve">-0.15 </w:t>
            </w:r>
          </w:p>
        </w:tc>
        <w:tc>
          <w:tcPr>
            <w:tcW w:w="1189"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highlight w:val="none"/>
                <w:lang w:val="en-US" w:eastAsia="zh-CN"/>
              </w:rPr>
            </w:pPr>
            <w:r>
              <w:rPr>
                <w:rFonts w:hint="default" w:ascii="Arial" w:hAnsi="Arial" w:eastAsia="宋体" w:cs="Arial"/>
                <w:i w:val="0"/>
                <w:color w:val="000000"/>
                <w:kern w:val="0"/>
                <w:sz w:val="20"/>
                <w:szCs w:val="20"/>
                <w:u w:val="none"/>
                <w:lang w:val="en-US" w:eastAsia="zh-CN" w:bidi="ar"/>
              </w:rPr>
              <w:t xml:space="preserve">2.52 </w:t>
            </w:r>
          </w:p>
        </w:tc>
      </w:tr>
      <w:tr>
        <w:tblPrEx>
          <w:tblLayout w:type="fixed"/>
        </w:tblPrEx>
        <w:trPr>
          <w:trHeight w:val="285" w:hRule="atLeast"/>
        </w:trPr>
        <w:tc>
          <w:tcPr>
            <w:tcW w:w="4633" w:type="dxa"/>
            <w:tcBorders>
              <w:left w:val="nil"/>
              <w:right w:val="single" w:color="auto" w:sz="4" w:space="0"/>
            </w:tcBorders>
            <w:vAlign w:val="center"/>
          </w:tcPr>
          <w:p>
            <w:pPr>
              <w:widowControl/>
              <w:jc w:val="left"/>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sz w:val="24"/>
                <w:szCs w:val="24"/>
                <w:highlight w:val="none"/>
              </w:rPr>
              <w:t xml:space="preserve">    </w:t>
            </w:r>
            <w:r>
              <w:rPr>
                <w:rFonts w:hint="eastAsia" w:ascii="仿宋_GB2312" w:hAnsi="仿宋_GB2312" w:eastAsia="仿宋_GB2312" w:cs="仿宋_GB2312"/>
                <w:color w:val="000000"/>
                <w:sz w:val="24"/>
                <w:szCs w:val="24"/>
                <w:highlight w:val="none"/>
                <w:lang w:eastAsia="zh-CN"/>
              </w:rPr>
              <w:t>社区专项服务机构和设施</w:t>
            </w:r>
          </w:p>
        </w:tc>
        <w:tc>
          <w:tcPr>
            <w:tcW w:w="700" w:type="dxa"/>
            <w:tcBorders>
              <w:left w:val="single" w:color="auto" w:sz="4" w:space="0"/>
              <w:right w:val="single" w:color="auto" w:sz="4" w:space="0"/>
            </w:tcBorders>
            <w:vAlign w:val="center"/>
          </w:tcPr>
          <w:p>
            <w:pPr>
              <w:widowControl/>
              <w:jc w:val="center"/>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sz w:val="24"/>
                <w:szCs w:val="24"/>
                <w:highlight w:val="none"/>
              </w:rPr>
              <w:t>个</w:t>
            </w:r>
          </w:p>
        </w:tc>
        <w:tc>
          <w:tcPr>
            <w:tcW w:w="888" w:type="dxa"/>
            <w:tcBorders>
              <w:top w:val="nil"/>
              <w:left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highlight w:val="none"/>
                <w:lang w:val="en-US" w:eastAsia="zh-CN"/>
              </w:rPr>
            </w:pPr>
            <w:r>
              <w:rPr>
                <w:rFonts w:hint="eastAsia" w:ascii="宋体" w:hAnsi="宋体" w:eastAsia="宋体" w:cs="宋体"/>
                <w:i w:val="0"/>
                <w:color w:val="000000"/>
                <w:kern w:val="0"/>
                <w:sz w:val="22"/>
                <w:szCs w:val="22"/>
                <w:u w:val="none"/>
                <w:lang w:val="en-US" w:eastAsia="zh-CN" w:bidi="ar"/>
              </w:rPr>
              <w:t>214</w:t>
            </w:r>
          </w:p>
        </w:tc>
        <w:tc>
          <w:tcPr>
            <w:tcW w:w="1237"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highlight w:val="none"/>
                <w:lang w:val="en-US" w:eastAsia="zh-CN"/>
              </w:rPr>
            </w:pPr>
            <w:r>
              <w:rPr>
                <w:rFonts w:hint="eastAsia" w:ascii="仿宋_GB2312" w:hAnsi="Arial" w:eastAsia="仿宋_GB2312" w:cs="仿宋_GB2312"/>
                <w:i w:val="0"/>
                <w:color w:val="000000"/>
                <w:kern w:val="0"/>
                <w:sz w:val="24"/>
                <w:szCs w:val="24"/>
                <w:u w:val="none"/>
                <w:lang w:val="en-US" w:eastAsia="zh-CN" w:bidi="ar"/>
              </w:rPr>
              <w:t>——</w:t>
            </w:r>
          </w:p>
        </w:tc>
        <w:tc>
          <w:tcPr>
            <w:tcW w:w="1189"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highlight w:val="none"/>
                <w:lang w:val="en-US" w:eastAsia="zh-CN"/>
              </w:rPr>
            </w:pPr>
            <w:r>
              <w:rPr>
                <w:rFonts w:hint="default" w:ascii="Arial" w:hAnsi="Arial" w:eastAsia="宋体" w:cs="Arial"/>
                <w:i w:val="0"/>
                <w:color w:val="000000"/>
                <w:kern w:val="0"/>
                <w:sz w:val="20"/>
                <w:szCs w:val="20"/>
                <w:u w:val="none"/>
                <w:lang w:val="en-US" w:eastAsia="zh-CN" w:bidi="ar"/>
              </w:rPr>
              <w:t xml:space="preserve">-14.06 </w:t>
            </w:r>
          </w:p>
        </w:tc>
      </w:tr>
      <w:tr>
        <w:tblPrEx>
          <w:tblLayout w:type="fixed"/>
          <w:tblCellMar>
            <w:top w:w="0" w:type="dxa"/>
            <w:left w:w="108" w:type="dxa"/>
            <w:bottom w:w="0" w:type="dxa"/>
            <w:right w:w="108" w:type="dxa"/>
          </w:tblCellMar>
        </w:tblPrEx>
        <w:trPr>
          <w:trHeight w:val="285" w:hRule="atLeast"/>
        </w:trPr>
        <w:tc>
          <w:tcPr>
            <w:tcW w:w="4633" w:type="dxa"/>
            <w:tcBorders>
              <w:left w:val="nil"/>
              <w:right w:val="single" w:color="auto" w:sz="4" w:space="0"/>
            </w:tcBorders>
            <w:vAlign w:val="center"/>
          </w:tcPr>
          <w:p>
            <w:pPr>
              <w:widowControl/>
              <w:jc w:val="left"/>
              <w:rPr>
                <w:rFonts w:hint="eastAsia" w:ascii="仿宋_GB2312" w:hAnsi="仿宋_GB2312" w:eastAsia="仿宋_GB2312" w:cs="仿宋_GB2312"/>
                <w:color w:val="000000"/>
                <w:sz w:val="24"/>
                <w:szCs w:val="24"/>
                <w:highlight w:val="none"/>
              </w:rPr>
            </w:pPr>
            <w:r>
              <w:rPr>
                <w:rFonts w:hint="eastAsia" w:ascii="仿宋_GB2312" w:hAnsi="仿宋_GB2312" w:eastAsia="仿宋_GB2312" w:cs="仿宋_GB2312"/>
                <w:color w:val="000000"/>
                <w:sz w:val="24"/>
                <w:szCs w:val="24"/>
                <w:highlight w:val="none"/>
              </w:rPr>
              <w:t xml:space="preserve">    社区养老</w:t>
            </w:r>
            <w:r>
              <w:rPr>
                <w:rFonts w:hint="eastAsia" w:ascii="仿宋_GB2312" w:hAnsi="仿宋_GB2312" w:eastAsia="仿宋_GB2312" w:cs="仿宋_GB2312"/>
                <w:color w:val="000000"/>
                <w:sz w:val="24"/>
                <w:szCs w:val="24"/>
                <w:highlight w:val="none"/>
                <w:lang w:eastAsia="zh-CN"/>
              </w:rPr>
              <w:t>床位数</w:t>
            </w:r>
          </w:p>
        </w:tc>
        <w:tc>
          <w:tcPr>
            <w:tcW w:w="700" w:type="dxa"/>
            <w:tcBorders>
              <w:left w:val="single" w:color="auto" w:sz="4" w:space="0"/>
              <w:right w:val="single" w:color="auto" w:sz="4" w:space="0"/>
            </w:tcBorders>
            <w:vAlign w:val="center"/>
          </w:tcPr>
          <w:p>
            <w:pPr>
              <w:widowControl/>
              <w:jc w:val="center"/>
              <w:rPr>
                <w:rFonts w:hint="eastAsia" w:ascii="仿宋_GB2312" w:hAnsi="仿宋_GB2312" w:eastAsia="仿宋_GB2312" w:cs="仿宋_GB2312"/>
                <w:color w:val="000000"/>
                <w:sz w:val="24"/>
                <w:szCs w:val="24"/>
                <w:highlight w:val="none"/>
                <w:lang w:eastAsia="zh-CN"/>
              </w:rPr>
            </w:pPr>
            <w:r>
              <w:rPr>
                <w:rFonts w:hint="eastAsia" w:ascii="仿宋_GB2312" w:hAnsi="仿宋_GB2312" w:eastAsia="仿宋_GB2312" w:cs="仿宋_GB2312"/>
                <w:color w:val="000000"/>
                <w:sz w:val="24"/>
                <w:szCs w:val="24"/>
                <w:highlight w:val="none"/>
                <w:lang w:eastAsia="zh-CN"/>
              </w:rPr>
              <w:t>万张</w:t>
            </w:r>
          </w:p>
        </w:tc>
        <w:tc>
          <w:tcPr>
            <w:tcW w:w="888" w:type="dxa"/>
            <w:tcBorders>
              <w:top w:val="nil"/>
              <w:left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highlight w:val="none"/>
                <w:lang w:val="en-US" w:eastAsia="zh-CN"/>
              </w:rPr>
            </w:pPr>
            <w:r>
              <w:rPr>
                <w:rFonts w:hint="eastAsia" w:ascii="宋体" w:hAnsi="宋体" w:eastAsia="宋体" w:cs="宋体"/>
                <w:i w:val="0"/>
                <w:color w:val="000000"/>
                <w:kern w:val="0"/>
                <w:sz w:val="22"/>
                <w:szCs w:val="22"/>
                <w:u w:val="none"/>
                <w:lang w:val="en-US" w:eastAsia="zh-CN" w:bidi="ar"/>
              </w:rPr>
              <w:t>7.89</w:t>
            </w:r>
          </w:p>
        </w:tc>
        <w:tc>
          <w:tcPr>
            <w:tcW w:w="1237"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highlight w:val="none"/>
                <w:lang w:val="en-US" w:eastAsia="zh-CN"/>
              </w:rPr>
            </w:pPr>
            <w:r>
              <w:rPr>
                <w:rFonts w:hint="default" w:ascii="Arial" w:hAnsi="Arial" w:eastAsia="宋体" w:cs="Arial"/>
                <w:i w:val="0"/>
                <w:color w:val="000000"/>
                <w:kern w:val="0"/>
                <w:sz w:val="20"/>
                <w:szCs w:val="20"/>
                <w:u w:val="none"/>
                <w:lang w:val="en-US" w:eastAsia="zh-CN" w:bidi="ar"/>
              </w:rPr>
              <w:t xml:space="preserve">0.08 </w:t>
            </w:r>
          </w:p>
        </w:tc>
        <w:tc>
          <w:tcPr>
            <w:tcW w:w="1189"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sz w:val="24"/>
                <w:szCs w:val="24"/>
                <w:highlight w:val="none"/>
                <w:lang w:val="en-US" w:eastAsia="zh-CN"/>
              </w:rPr>
            </w:pPr>
            <w:r>
              <w:rPr>
                <w:rFonts w:hint="default" w:ascii="Arial" w:hAnsi="Arial" w:eastAsia="宋体" w:cs="Arial"/>
                <w:i w:val="0"/>
                <w:color w:val="000000"/>
                <w:kern w:val="0"/>
                <w:sz w:val="20"/>
                <w:szCs w:val="20"/>
                <w:u w:val="none"/>
                <w:lang w:val="en-US" w:eastAsia="zh-CN" w:bidi="ar"/>
              </w:rPr>
              <w:t xml:space="preserve">-18.96 </w:t>
            </w:r>
          </w:p>
        </w:tc>
      </w:tr>
      <w:tr>
        <w:tblPrEx>
          <w:tblLayout w:type="fixed"/>
          <w:tblCellMar>
            <w:top w:w="0" w:type="dxa"/>
            <w:left w:w="108" w:type="dxa"/>
            <w:bottom w:w="0" w:type="dxa"/>
            <w:right w:w="108" w:type="dxa"/>
          </w:tblCellMar>
        </w:tblPrEx>
        <w:trPr>
          <w:trHeight w:val="285" w:hRule="atLeast"/>
        </w:trPr>
        <w:tc>
          <w:tcPr>
            <w:tcW w:w="4633" w:type="dxa"/>
            <w:tcBorders>
              <w:left w:val="nil"/>
              <w:bottom w:val="single" w:color="auto" w:sz="4" w:space="0"/>
              <w:right w:val="single" w:color="auto" w:sz="4" w:space="0"/>
            </w:tcBorders>
            <w:vAlign w:val="center"/>
          </w:tcPr>
          <w:p>
            <w:pPr>
              <w:widowControl/>
              <w:ind w:firstLine="720" w:firstLineChars="300"/>
              <w:jc w:val="left"/>
              <w:rPr>
                <w:rFonts w:hint="eastAsia" w:ascii="仿宋_GB2312" w:hAnsi="仿宋_GB2312" w:eastAsia="仿宋_GB2312" w:cs="仿宋_GB2312"/>
                <w:color w:val="000000"/>
                <w:sz w:val="24"/>
                <w:szCs w:val="24"/>
                <w:highlight w:val="none"/>
              </w:rPr>
            </w:pPr>
          </w:p>
        </w:tc>
        <w:tc>
          <w:tcPr>
            <w:tcW w:w="700" w:type="dxa"/>
            <w:tcBorders>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sz w:val="24"/>
                <w:szCs w:val="24"/>
                <w:highlight w:val="none"/>
              </w:rPr>
            </w:pPr>
          </w:p>
        </w:tc>
        <w:tc>
          <w:tcPr>
            <w:tcW w:w="888" w:type="dxa"/>
            <w:tcBorders>
              <w:top w:val="nil"/>
              <w:left w:val="single" w:color="auto" w:sz="4" w:space="0"/>
              <w:bottom w:val="single" w:color="auto" w:sz="4" w:space="0"/>
            </w:tcBorders>
            <w:vAlign w:val="bottom"/>
          </w:tcPr>
          <w:p>
            <w:pPr>
              <w:jc w:val="center"/>
              <w:rPr>
                <w:rFonts w:hint="default" w:ascii="仿宋_GB2312" w:hAnsi="仿宋_GB2312" w:eastAsia="仿宋_GB2312" w:cs="仿宋_GB2312"/>
                <w:sz w:val="24"/>
                <w:szCs w:val="24"/>
                <w:highlight w:val="none"/>
                <w:lang w:val="en-US" w:eastAsia="zh-CN"/>
              </w:rPr>
            </w:pPr>
          </w:p>
        </w:tc>
        <w:tc>
          <w:tcPr>
            <w:tcW w:w="1237" w:type="dxa"/>
            <w:tcBorders>
              <w:top w:val="nil"/>
              <w:bottom w:val="single" w:color="auto" w:sz="4" w:space="0"/>
            </w:tcBorders>
            <w:vAlign w:val="bottom"/>
          </w:tcPr>
          <w:p>
            <w:pPr>
              <w:jc w:val="center"/>
              <w:rPr>
                <w:rFonts w:hint="default" w:ascii="仿宋_GB2312" w:hAnsi="仿宋_GB2312" w:eastAsia="仿宋_GB2312" w:cs="仿宋_GB2312"/>
                <w:sz w:val="24"/>
                <w:szCs w:val="24"/>
                <w:highlight w:val="none"/>
                <w:lang w:val="en-US" w:eastAsia="zh-CN"/>
              </w:rPr>
            </w:pPr>
          </w:p>
        </w:tc>
        <w:tc>
          <w:tcPr>
            <w:tcW w:w="1189" w:type="dxa"/>
            <w:tcBorders>
              <w:top w:val="nil"/>
              <w:bottom w:val="single" w:color="auto" w:sz="4" w:space="0"/>
            </w:tcBorders>
            <w:vAlign w:val="bottom"/>
          </w:tcPr>
          <w:p>
            <w:pPr>
              <w:jc w:val="center"/>
              <w:rPr>
                <w:rFonts w:hint="default" w:ascii="仿宋_GB2312" w:hAnsi="仿宋_GB2312" w:eastAsia="仿宋_GB2312" w:cs="仿宋_GB2312"/>
                <w:color w:val="000000"/>
                <w:sz w:val="24"/>
                <w:szCs w:val="24"/>
                <w:highlight w:val="none"/>
                <w:lang w:val="en-US" w:eastAsia="zh-CN"/>
              </w:rPr>
            </w:pPr>
          </w:p>
        </w:tc>
      </w:tr>
    </w:tbl>
    <w:p>
      <w:pPr>
        <w:ind w:right="359" w:rightChars="171" w:firstLine="480" w:firstLineChars="200"/>
        <w:rPr>
          <w:rFonts w:hint="eastAsia" w:ascii="仿宋_GB2312" w:eastAsia="仿宋_GB2312"/>
          <w:color w:val="auto"/>
          <w:sz w:val="24"/>
        </w:rPr>
      </w:pPr>
    </w:p>
    <w:p>
      <w:pPr>
        <w:ind w:right="359" w:rightChars="171" w:firstLine="480" w:firstLineChars="200"/>
        <w:rPr>
          <w:rFonts w:hint="eastAsia" w:ascii="仿宋_GB2312" w:eastAsia="仿宋_GB2312"/>
          <w:color w:val="000000"/>
          <w:sz w:val="24"/>
        </w:rPr>
      </w:pPr>
      <w:r>
        <w:rPr>
          <w:rFonts w:hint="eastAsia" w:ascii="仿宋_GB2312" w:eastAsia="仿宋_GB2312"/>
          <w:color w:val="auto"/>
          <w:sz w:val="24"/>
        </w:rPr>
        <w:t>截至</w:t>
      </w:r>
      <w:r>
        <w:rPr>
          <w:rFonts w:hint="eastAsia" w:ascii="仿宋_GB2312" w:eastAsia="仿宋_GB2312"/>
          <w:color w:val="000000"/>
          <w:sz w:val="24"/>
          <w:lang w:eastAsia="zh-CN"/>
        </w:rPr>
        <w:t>2021年</w:t>
      </w:r>
      <w:r>
        <w:rPr>
          <w:rFonts w:hint="eastAsia" w:ascii="仿宋_GB2312" w:eastAsia="仿宋_GB2312"/>
          <w:color w:val="000000"/>
          <w:sz w:val="24"/>
          <w:lang w:val="en-US" w:eastAsia="zh-CN"/>
        </w:rPr>
        <w:t>9月底</w:t>
      </w:r>
      <w:r>
        <w:rPr>
          <w:rFonts w:hint="eastAsia" w:ascii="仿宋_GB2312" w:eastAsia="仿宋_GB2312"/>
          <w:color w:val="000000"/>
          <w:sz w:val="24"/>
        </w:rPr>
        <w:t>，我</w:t>
      </w:r>
      <w:r>
        <w:rPr>
          <w:rFonts w:hint="eastAsia" w:ascii="仿宋_GB2312" w:eastAsia="仿宋_GB2312"/>
          <w:color w:val="000000"/>
          <w:sz w:val="24"/>
          <w:lang w:eastAsia="zh-CN"/>
        </w:rPr>
        <w:t>省</w:t>
      </w:r>
      <w:r>
        <w:rPr>
          <w:rFonts w:hint="eastAsia" w:ascii="仿宋_GB2312" w:eastAsia="仿宋_GB2312"/>
          <w:color w:val="000000"/>
          <w:sz w:val="24"/>
        </w:rPr>
        <w:t>有社区服务指导中心</w:t>
      </w:r>
      <w:r>
        <w:rPr>
          <w:rFonts w:hint="eastAsia" w:ascii="仿宋_GB2312" w:eastAsia="仿宋_GB2312"/>
          <w:color w:val="000000"/>
          <w:sz w:val="24"/>
          <w:lang w:val="en-US" w:eastAsia="zh-CN"/>
        </w:rPr>
        <w:t>9</w:t>
      </w:r>
      <w:r>
        <w:rPr>
          <w:rFonts w:hint="eastAsia" w:ascii="仿宋_GB2312" w:eastAsia="仿宋_GB2312"/>
          <w:color w:val="000000"/>
          <w:sz w:val="24"/>
        </w:rPr>
        <w:t>个，</w:t>
      </w:r>
      <w:r>
        <w:rPr>
          <w:rFonts w:hint="eastAsia" w:ascii="仿宋_GB2312" w:eastAsia="仿宋_GB2312"/>
          <w:color w:val="000000"/>
          <w:sz w:val="24"/>
          <w:lang w:eastAsia="zh-CN"/>
        </w:rPr>
        <w:t>与2021年</w:t>
      </w:r>
      <w:r>
        <w:rPr>
          <w:rFonts w:hint="eastAsia" w:ascii="仿宋_GB2312" w:eastAsia="仿宋_GB2312"/>
          <w:color w:val="000000"/>
          <w:sz w:val="24"/>
          <w:lang w:val="en-US" w:eastAsia="zh-CN"/>
        </w:rPr>
        <w:t>2</w:t>
      </w:r>
      <w:r>
        <w:rPr>
          <w:rFonts w:ascii="仿宋_GB2312" w:eastAsia="仿宋_GB2312"/>
          <w:color w:val="000000"/>
          <w:sz w:val="24"/>
        </w:rPr>
        <w:t>季度</w:t>
      </w:r>
      <w:r>
        <w:rPr>
          <w:rFonts w:hint="eastAsia" w:ascii="仿宋_GB2312" w:eastAsia="仿宋_GB2312"/>
          <w:color w:val="000000"/>
          <w:sz w:val="24"/>
          <w:lang w:eastAsia="zh-CN"/>
        </w:rPr>
        <w:t>持平</w:t>
      </w:r>
      <w:r>
        <w:rPr>
          <w:rFonts w:hint="eastAsia" w:ascii="仿宋_GB2312" w:eastAsia="仿宋_GB2312"/>
          <w:color w:val="000000"/>
          <w:sz w:val="24"/>
        </w:rPr>
        <w:t>，</w:t>
      </w:r>
      <w:r>
        <w:rPr>
          <w:rFonts w:hint="eastAsia" w:ascii="仿宋_GB2312" w:eastAsia="仿宋_GB2312"/>
          <w:color w:val="000000"/>
          <w:sz w:val="24"/>
          <w:lang w:eastAsia="zh-CN"/>
        </w:rPr>
        <w:t>比</w:t>
      </w:r>
      <w:r>
        <w:rPr>
          <w:rFonts w:hint="eastAsia" w:ascii="仿宋_GB2312" w:eastAsia="仿宋_GB2312"/>
          <w:color w:val="000000"/>
          <w:sz w:val="24"/>
        </w:rPr>
        <w:t>上年同期</w:t>
      </w:r>
      <w:r>
        <w:rPr>
          <w:rFonts w:hint="eastAsia" w:ascii="仿宋_GB2312" w:eastAsia="仿宋_GB2312"/>
          <w:color w:val="000000"/>
          <w:sz w:val="24"/>
          <w:lang w:eastAsia="zh-CN"/>
        </w:rPr>
        <w:t>同比下降</w:t>
      </w:r>
      <w:r>
        <w:rPr>
          <w:rFonts w:hint="eastAsia" w:ascii="仿宋_GB2312" w:eastAsia="仿宋_GB2312"/>
          <w:color w:val="000000"/>
          <w:sz w:val="24"/>
          <w:lang w:val="en-US" w:eastAsia="zh-CN"/>
        </w:rPr>
        <w:t>18.18%；</w:t>
      </w:r>
      <w:r>
        <w:rPr>
          <w:rFonts w:hint="eastAsia" w:ascii="仿宋_GB2312" w:eastAsia="仿宋_GB2312"/>
          <w:color w:val="000000"/>
          <w:sz w:val="24"/>
        </w:rPr>
        <w:t>社区服务中心</w:t>
      </w:r>
      <w:r>
        <w:rPr>
          <w:rFonts w:hint="eastAsia" w:ascii="宋体" w:hAnsi="宋体" w:eastAsia="宋体" w:cs="宋体"/>
          <w:i w:val="0"/>
          <w:color w:val="000000"/>
          <w:kern w:val="0"/>
          <w:sz w:val="22"/>
          <w:szCs w:val="22"/>
          <w:u w:val="none"/>
          <w:lang w:val="en-US" w:eastAsia="zh-CN" w:bidi="ar"/>
        </w:rPr>
        <w:t>1479</w:t>
      </w:r>
      <w:r>
        <w:rPr>
          <w:rFonts w:hint="eastAsia" w:ascii="仿宋_GB2312" w:eastAsia="仿宋_GB2312"/>
          <w:color w:val="000000"/>
          <w:sz w:val="24"/>
        </w:rPr>
        <w:t>个</w:t>
      </w:r>
      <w:r>
        <w:rPr>
          <w:rFonts w:ascii="仿宋_GB2312" w:eastAsia="仿宋_GB2312"/>
          <w:color w:val="000000"/>
          <w:sz w:val="24"/>
        </w:rPr>
        <w:t>，</w:t>
      </w:r>
      <w:r>
        <w:rPr>
          <w:rFonts w:hint="eastAsia" w:ascii="仿宋_GB2312" w:eastAsia="仿宋_GB2312"/>
          <w:color w:val="000000"/>
          <w:sz w:val="24"/>
          <w:lang w:eastAsia="zh-CN"/>
        </w:rPr>
        <w:t>比2021年</w:t>
      </w:r>
      <w:r>
        <w:rPr>
          <w:rFonts w:hint="eastAsia" w:ascii="仿宋_GB2312" w:eastAsia="仿宋_GB2312"/>
          <w:color w:val="000000"/>
          <w:sz w:val="24"/>
          <w:lang w:val="en-US" w:eastAsia="zh-CN"/>
        </w:rPr>
        <w:t>2</w:t>
      </w:r>
      <w:r>
        <w:rPr>
          <w:rFonts w:ascii="仿宋_GB2312" w:eastAsia="仿宋_GB2312"/>
          <w:color w:val="000000"/>
          <w:sz w:val="24"/>
        </w:rPr>
        <w:t>季度</w:t>
      </w:r>
      <w:r>
        <w:rPr>
          <w:rFonts w:hint="eastAsia" w:ascii="仿宋_GB2312" w:eastAsia="仿宋_GB2312"/>
          <w:color w:val="000000"/>
          <w:sz w:val="24"/>
          <w:lang w:eastAsia="zh-CN"/>
        </w:rPr>
        <w:t>下降</w:t>
      </w:r>
      <w:r>
        <w:rPr>
          <w:rFonts w:hint="eastAsia" w:ascii="仿宋_GB2312" w:eastAsia="仿宋_GB2312"/>
          <w:color w:val="000000"/>
          <w:sz w:val="24"/>
          <w:lang w:val="en-US" w:eastAsia="zh-CN"/>
        </w:rPr>
        <w:t>0.74%</w:t>
      </w:r>
      <w:r>
        <w:rPr>
          <w:rFonts w:hint="eastAsia" w:ascii="仿宋_GB2312" w:eastAsia="仿宋_GB2312"/>
          <w:color w:val="000000"/>
          <w:sz w:val="24"/>
        </w:rPr>
        <w:t>，比上年同期同比</w:t>
      </w:r>
      <w:r>
        <w:rPr>
          <w:rFonts w:hint="eastAsia" w:ascii="仿宋_GB2312" w:eastAsia="仿宋_GB2312"/>
          <w:color w:val="000000"/>
          <w:sz w:val="24"/>
          <w:lang w:eastAsia="zh-CN"/>
        </w:rPr>
        <w:t>增长</w:t>
      </w:r>
      <w:r>
        <w:rPr>
          <w:rFonts w:hint="eastAsia" w:ascii="仿宋_GB2312" w:eastAsia="仿宋_GB2312"/>
          <w:color w:val="000000"/>
          <w:sz w:val="24"/>
          <w:lang w:val="en-US" w:eastAsia="zh-CN"/>
        </w:rPr>
        <w:t>5.72</w:t>
      </w:r>
      <w:r>
        <w:rPr>
          <w:rFonts w:hint="eastAsia" w:ascii="仿宋_GB2312" w:eastAsia="仿宋_GB2312"/>
          <w:color w:val="000000"/>
          <w:sz w:val="24"/>
        </w:rPr>
        <w:t>%；社区服务站</w:t>
      </w:r>
      <w:r>
        <w:rPr>
          <w:rFonts w:hint="eastAsia" w:ascii="宋体" w:hAnsi="宋体" w:eastAsia="宋体" w:cs="宋体"/>
          <w:i w:val="0"/>
          <w:color w:val="000000"/>
          <w:kern w:val="0"/>
          <w:sz w:val="22"/>
          <w:szCs w:val="22"/>
          <w:u w:val="none"/>
          <w:lang w:val="en-US" w:eastAsia="zh-CN" w:bidi="ar"/>
        </w:rPr>
        <w:t>18053</w:t>
      </w:r>
      <w:r>
        <w:rPr>
          <w:rFonts w:hint="eastAsia" w:ascii="仿宋_GB2312" w:eastAsia="仿宋_GB2312"/>
          <w:color w:val="000000"/>
          <w:sz w:val="24"/>
        </w:rPr>
        <w:t>个，</w:t>
      </w:r>
      <w:r>
        <w:rPr>
          <w:rFonts w:hint="eastAsia" w:ascii="仿宋_GB2312" w:eastAsia="仿宋_GB2312"/>
          <w:color w:val="000000"/>
          <w:sz w:val="24"/>
          <w:lang w:eastAsia="zh-CN"/>
        </w:rPr>
        <w:t>比2021年</w:t>
      </w:r>
      <w:r>
        <w:rPr>
          <w:rFonts w:hint="eastAsia" w:ascii="仿宋_GB2312" w:eastAsia="仿宋_GB2312"/>
          <w:color w:val="000000"/>
          <w:sz w:val="24"/>
          <w:lang w:val="en-US" w:eastAsia="zh-CN"/>
        </w:rPr>
        <w:t>2</w:t>
      </w:r>
      <w:r>
        <w:rPr>
          <w:rFonts w:ascii="仿宋_GB2312" w:eastAsia="仿宋_GB2312"/>
          <w:color w:val="000000"/>
          <w:sz w:val="24"/>
        </w:rPr>
        <w:t>季度</w:t>
      </w:r>
      <w:r>
        <w:rPr>
          <w:rFonts w:hint="eastAsia" w:ascii="仿宋_GB2312" w:eastAsia="仿宋_GB2312"/>
          <w:color w:val="000000"/>
          <w:sz w:val="24"/>
          <w:lang w:eastAsia="zh-CN"/>
        </w:rPr>
        <w:t>下降</w:t>
      </w:r>
      <w:r>
        <w:rPr>
          <w:rFonts w:hint="eastAsia" w:ascii="仿宋_GB2312" w:eastAsia="仿宋_GB2312"/>
          <w:color w:val="000000"/>
          <w:sz w:val="24"/>
          <w:lang w:val="en-US" w:eastAsia="zh-CN"/>
        </w:rPr>
        <w:t>0.15%</w:t>
      </w:r>
      <w:r>
        <w:rPr>
          <w:rFonts w:hint="eastAsia" w:ascii="仿宋_GB2312" w:eastAsia="仿宋_GB2312"/>
          <w:color w:val="000000"/>
          <w:sz w:val="24"/>
        </w:rPr>
        <w:t>，比上年同期同比</w:t>
      </w:r>
      <w:r>
        <w:rPr>
          <w:rFonts w:hint="eastAsia" w:ascii="仿宋_GB2312" w:eastAsia="仿宋_GB2312"/>
          <w:color w:val="000000"/>
          <w:sz w:val="24"/>
          <w:lang w:eastAsia="zh-CN"/>
        </w:rPr>
        <w:t>增长</w:t>
      </w:r>
      <w:r>
        <w:rPr>
          <w:rFonts w:hint="eastAsia" w:ascii="仿宋_GB2312" w:eastAsia="仿宋_GB2312"/>
          <w:color w:val="000000"/>
          <w:sz w:val="24"/>
          <w:lang w:val="en-US" w:eastAsia="zh-CN"/>
        </w:rPr>
        <w:t>2.52</w:t>
      </w:r>
      <w:r>
        <w:rPr>
          <w:rFonts w:hint="eastAsia" w:ascii="仿宋_GB2312" w:eastAsia="仿宋_GB2312"/>
          <w:color w:val="000000"/>
          <w:sz w:val="24"/>
        </w:rPr>
        <w:t>%；社区专项服务机构和设施</w:t>
      </w:r>
      <w:r>
        <w:rPr>
          <w:rFonts w:hint="eastAsia" w:ascii="仿宋_GB2312" w:eastAsia="仿宋_GB2312"/>
          <w:color w:val="000000"/>
          <w:sz w:val="24"/>
          <w:lang w:val="en-US" w:eastAsia="zh-CN"/>
        </w:rPr>
        <w:t>214</w:t>
      </w:r>
      <w:r>
        <w:rPr>
          <w:rFonts w:hint="eastAsia" w:ascii="仿宋_GB2312" w:eastAsia="仿宋_GB2312"/>
          <w:color w:val="000000"/>
          <w:sz w:val="24"/>
        </w:rPr>
        <w:t>个，</w:t>
      </w:r>
      <w:r>
        <w:rPr>
          <w:rFonts w:hint="eastAsia" w:ascii="仿宋_GB2312" w:eastAsia="仿宋_GB2312"/>
          <w:color w:val="000000"/>
          <w:sz w:val="24"/>
          <w:lang w:eastAsia="zh-CN"/>
        </w:rPr>
        <w:t>与2021年</w:t>
      </w:r>
      <w:r>
        <w:rPr>
          <w:rFonts w:hint="eastAsia" w:ascii="仿宋_GB2312" w:eastAsia="仿宋_GB2312"/>
          <w:color w:val="000000"/>
          <w:sz w:val="24"/>
          <w:lang w:val="en-US" w:eastAsia="zh-CN"/>
        </w:rPr>
        <w:t>2</w:t>
      </w:r>
      <w:r>
        <w:rPr>
          <w:rFonts w:ascii="仿宋_GB2312" w:eastAsia="仿宋_GB2312"/>
          <w:color w:val="000000"/>
          <w:sz w:val="24"/>
        </w:rPr>
        <w:t>季度</w:t>
      </w:r>
      <w:r>
        <w:rPr>
          <w:rFonts w:hint="eastAsia" w:ascii="仿宋_GB2312" w:eastAsia="仿宋_GB2312"/>
          <w:color w:val="000000"/>
          <w:sz w:val="24"/>
          <w:lang w:eastAsia="zh-CN"/>
        </w:rPr>
        <w:t>持平</w:t>
      </w:r>
      <w:r>
        <w:rPr>
          <w:rFonts w:hint="eastAsia" w:ascii="仿宋_GB2312" w:eastAsia="仿宋_GB2312"/>
          <w:color w:val="000000"/>
          <w:sz w:val="24"/>
        </w:rPr>
        <w:t>，比上年同期同比</w:t>
      </w:r>
      <w:r>
        <w:rPr>
          <w:rFonts w:hint="eastAsia" w:ascii="仿宋_GB2312" w:eastAsia="仿宋_GB2312"/>
          <w:color w:val="000000"/>
          <w:sz w:val="24"/>
          <w:lang w:eastAsia="zh-CN"/>
        </w:rPr>
        <w:t>下降</w:t>
      </w:r>
      <w:r>
        <w:rPr>
          <w:rFonts w:hint="eastAsia" w:ascii="仿宋_GB2312" w:eastAsia="仿宋_GB2312"/>
          <w:color w:val="000000"/>
          <w:sz w:val="24"/>
          <w:lang w:val="en-US" w:eastAsia="zh-CN"/>
        </w:rPr>
        <w:t>14.06</w:t>
      </w:r>
      <w:r>
        <w:rPr>
          <w:rFonts w:hint="eastAsia" w:ascii="仿宋_GB2312" w:eastAsia="仿宋_GB2312"/>
          <w:color w:val="000000"/>
          <w:sz w:val="24"/>
        </w:rPr>
        <w:t>%。</w:t>
      </w:r>
      <w:r>
        <w:rPr>
          <w:rFonts w:hint="eastAsia" w:ascii="仿宋_GB2312" w:eastAsia="仿宋_GB2312"/>
          <w:color w:val="000000"/>
          <w:sz w:val="24"/>
          <w:lang w:eastAsia="zh-CN"/>
        </w:rPr>
        <w:t>社区养老床位数</w:t>
      </w:r>
      <w:r>
        <w:rPr>
          <w:rFonts w:hint="eastAsia" w:ascii="仿宋_GB2312" w:eastAsia="仿宋_GB2312"/>
          <w:color w:val="000000"/>
          <w:sz w:val="24"/>
          <w:lang w:val="en-US" w:eastAsia="zh-CN"/>
        </w:rPr>
        <w:t>7.89万张，比2021年2季度增长0.08%，比上年同期同比下降18.96%。</w:t>
      </w:r>
    </w:p>
    <w:p>
      <w:pPr>
        <w:ind w:right="359" w:rightChars="171" w:firstLine="480" w:firstLineChars="200"/>
        <w:rPr>
          <w:rFonts w:hint="eastAsia" w:ascii="仿宋_GB2312" w:eastAsia="仿宋_GB2312"/>
          <w:color w:val="000000"/>
          <w:sz w:val="24"/>
        </w:rPr>
      </w:pPr>
    </w:p>
    <w:p>
      <w:pPr>
        <w:spacing w:line="480" w:lineRule="auto"/>
        <w:ind w:right="359" w:rightChars="171" w:firstLine="560" w:firstLineChars="200"/>
        <w:rPr>
          <w:rFonts w:hint="eastAsia" w:ascii="仿宋_GB2312" w:eastAsia="仿宋_GB2312"/>
          <w:sz w:val="24"/>
        </w:rPr>
      </w:pPr>
      <w:r>
        <w:rPr>
          <w:rFonts w:hint="eastAsia" w:ascii="楷体_GB2312" w:hAnsi="楷体_GB2312" w:eastAsia="楷体_GB2312" w:cs="楷体_GB2312"/>
          <w:sz w:val="28"/>
          <w:szCs w:val="28"/>
        </w:rPr>
        <w:t>2．儿童收养与救助</w:t>
      </w:r>
    </w:p>
    <w:tbl>
      <w:tblPr>
        <w:tblStyle w:val="6"/>
        <w:tblpPr w:leftFromText="180" w:rightFromText="180" w:vertAnchor="text" w:horzAnchor="margin" w:tblpY="26"/>
        <w:tblW w:w="8986" w:type="dxa"/>
        <w:tblInd w:w="0" w:type="dxa"/>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
      <w:tblGrid>
        <w:gridCol w:w="3572"/>
        <w:gridCol w:w="1134"/>
        <w:gridCol w:w="1431"/>
        <w:gridCol w:w="1449"/>
        <w:gridCol w:w="1400"/>
      </w:tblGrid>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指      标</w:t>
            </w:r>
          </w:p>
        </w:tc>
        <w:tc>
          <w:tcPr>
            <w:tcW w:w="113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单 位</w:t>
            </w:r>
          </w:p>
        </w:tc>
        <w:tc>
          <w:tcPr>
            <w:tcW w:w="1431" w:type="dxa"/>
            <w:tcBorders>
              <w:top w:val="single" w:color="auto" w:sz="4" w:space="0"/>
              <w:left w:val="single" w:color="auto" w:sz="4" w:space="0"/>
              <w:bottom w:val="single" w:color="auto" w:sz="4" w:space="0"/>
              <w:right w:val="single" w:color="auto" w:sz="4" w:space="0"/>
            </w:tcBorders>
            <w:vAlign w:val="bottom"/>
          </w:tcPr>
          <w:p>
            <w:pPr>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数    量</w:t>
            </w:r>
          </w:p>
        </w:tc>
        <w:tc>
          <w:tcPr>
            <w:tcW w:w="1449" w:type="dxa"/>
            <w:tcBorders>
              <w:top w:val="single" w:color="auto" w:sz="4" w:space="0"/>
              <w:left w:val="single" w:color="auto" w:sz="4" w:space="0"/>
              <w:bottom w:val="single" w:color="auto" w:sz="4" w:space="0"/>
              <w:right w:val="single" w:color="auto" w:sz="4" w:space="0"/>
            </w:tcBorders>
            <w:vAlign w:val="bottom"/>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环比（%）</w:t>
            </w:r>
          </w:p>
        </w:tc>
        <w:tc>
          <w:tcPr>
            <w:tcW w:w="1400" w:type="dxa"/>
            <w:tcBorders>
              <w:top w:val="single" w:color="auto" w:sz="4" w:space="0"/>
              <w:left w:val="single" w:color="auto" w:sz="4" w:space="0"/>
              <w:bottom w:val="single" w:color="auto" w:sz="4" w:space="0"/>
            </w:tcBorders>
            <w:vAlign w:val="bottom"/>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同比（％）</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single" w:color="auto" w:sz="4" w:space="0"/>
              <w:bottom w:val="nil"/>
              <w:right w:val="single" w:color="auto" w:sz="4" w:space="0"/>
            </w:tcBorders>
            <w:vAlign w:val="bottom"/>
          </w:tcPr>
          <w:p>
            <w:pP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孤儿数</w:t>
            </w:r>
          </w:p>
        </w:tc>
        <w:tc>
          <w:tcPr>
            <w:tcW w:w="1134" w:type="dxa"/>
            <w:tcBorders>
              <w:top w:val="single" w:color="auto" w:sz="4" w:space="0"/>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人</w:t>
            </w:r>
          </w:p>
        </w:tc>
        <w:tc>
          <w:tcPr>
            <w:tcW w:w="1431" w:type="dxa"/>
            <w:tcBorders>
              <w:top w:val="single" w:color="auto" w:sz="4" w:space="0"/>
              <w:left w:val="single" w:color="auto" w:sz="4" w:space="0"/>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szCs w:val="24"/>
                <w:lang w:val="en-US"/>
              </w:rPr>
            </w:pPr>
            <w:r>
              <w:rPr>
                <w:rFonts w:hint="eastAsia" w:ascii="宋体" w:hAnsi="宋体" w:eastAsia="宋体" w:cs="宋体"/>
                <w:i w:val="0"/>
                <w:color w:val="000000"/>
                <w:kern w:val="0"/>
                <w:sz w:val="22"/>
                <w:szCs w:val="22"/>
                <w:u w:val="none"/>
                <w:lang w:val="en-US" w:eastAsia="zh-CN" w:bidi="ar"/>
              </w:rPr>
              <w:t>9203</w:t>
            </w:r>
          </w:p>
        </w:tc>
        <w:tc>
          <w:tcPr>
            <w:tcW w:w="1449" w:type="dxa"/>
            <w:tcBorders>
              <w:top w:val="single" w:color="auto" w:sz="4" w:space="0"/>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-8.38 </w:t>
            </w:r>
          </w:p>
        </w:tc>
        <w:tc>
          <w:tcPr>
            <w:tcW w:w="1400" w:type="dxa"/>
            <w:tcBorders>
              <w:top w:val="single" w:color="auto" w:sz="4" w:space="0"/>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-8.81 </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nil"/>
              <w:bottom w:val="nil"/>
              <w:right w:val="single" w:color="auto" w:sz="4" w:space="0"/>
            </w:tcBorders>
            <w:vAlign w:val="bottom"/>
          </w:tcPr>
          <w:p>
            <w:pPr>
              <w:widowControl/>
              <w:ind w:firstLine="720" w:firstLineChars="3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集中</w:t>
            </w:r>
            <w:r>
              <w:rPr>
                <w:rFonts w:hint="eastAsia" w:ascii="仿宋_GB2312" w:hAnsi="仿宋_GB2312" w:eastAsia="仿宋_GB2312" w:cs="仿宋_GB2312"/>
                <w:kern w:val="0"/>
                <w:sz w:val="24"/>
                <w:szCs w:val="24"/>
                <w:lang w:eastAsia="zh-CN"/>
              </w:rPr>
              <w:t>养育</w:t>
            </w:r>
            <w:r>
              <w:rPr>
                <w:rFonts w:hint="eastAsia" w:ascii="仿宋_GB2312" w:hAnsi="仿宋_GB2312" w:eastAsia="仿宋_GB2312" w:cs="仿宋_GB2312"/>
                <w:kern w:val="0"/>
                <w:sz w:val="24"/>
                <w:szCs w:val="24"/>
              </w:rPr>
              <w:t>孤儿</w:t>
            </w:r>
          </w:p>
        </w:tc>
        <w:tc>
          <w:tcPr>
            <w:tcW w:w="1134" w:type="dxa"/>
            <w:tcBorders>
              <w:top w:val="nil"/>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lang w:eastAsia="zh-CN"/>
              </w:rPr>
              <w:t>人</w:t>
            </w:r>
          </w:p>
        </w:tc>
        <w:tc>
          <w:tcPr>
            <w:tcW w:w="1431" w:type="dxa"/>
            <w:tcBorders>
              <w:top w:val="nil"/>
              <w:left w:val="single" w:color="auto" w:sz="4" w:space="0"/>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eastAsia" w:ascii="宋体" w:hAnsi="宋体" w:eastAsia="宋体" w:cs="宋体"/>
                <w:i w:val="0"/>
                <w:color w:val="000000"/>
                <w:kern w:val="0"/>
                <w:sz w:val="22"/>
                <w:szCs w:val="22"/>
                <w:u w:val="none"/>
                <w:lang w:val="en-US" w:eastAsia="zh-CN" w:bidi="ar"/>
              </w:rPr>
              <w:t>1472</w:t>
            </w:r>
          </w:p>
        </w:tc>
        <w:tc>
          <w:tcPr>
            <w:tcW w:w="1449" w:type="dxa"/>
            <w:tcBorders>
              <w:top w:val="nil"/>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-4.72 </w:t>
            </w:r>
          </w:p>
        </w:tc>
        <w:tc>
          <w:tcPr>
            <w:tcW w:w="1400" w:type="dxa"/>
            <w:tcBorders>
              <w:top w:val="nil"/>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-8.51 </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nil"/>
              <w:bottom w:val="nil"/>
              <w:right w:val="single" w:color="auto" w:sz="4" w:space="0"/>
            </w:tcBorders>
            <w:vAlign w:val="bottom"/>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社会散居孤儿</w:t>
            </w:r>
          </w:p>
        </w:tc>
        <w:tc>
          <w:tcPr>
            <w:tcW w:w="1134" w:type="dxa"/>
            <w:tcBorders>
              <w:top w:val="nil"/>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人</w:t>
            </w:r>
          </w:p>
        </w:tc>
        <w:tc>
          <w:tcPr>
            <w:tcW w:w="1431" w:type="dxa"/>
            <w:tcBorders>
              <w:top w:val="nil"/>
              <w:left w:val="single" w:color="auto" w:sz="4" w:space="0"/>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eastAsia" w:ascii="宋体" w:hAnsi="宋体" w:eastAsia="宋体" w:cs="宋体"/>
                <w:i w:val="0"/>
                <w:color w:val="000000"/>
                <w:kern w:val="0"/>
                <w:sz w:val="22"/>
                <w:szCs w:val="22"/>
                <w:u w:val="none"/>
                <w:lang w:val="en-US" w:eastAsia="zh-CN" w:bidi="ar"/>
              </w:rPr>
              <w:t>7731</w:t>
            </w:r>
          </w:p>
        </w:tc>
        <w:tc>
          <w:tcPr>
            <w:tcW w:w="1449" w:type="dxa"/>
            <w:tcBorders>
              <w:top w:val="nil"/>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-9.05 </w:t>
            </w:r>
          </w:p>
        </w:tc>
        <w:tc>
          <w:tcPr>
            <w:tcW w:w="1400" w:type="dxa"/>
            <w:tcBorders>
              <w:top w:val="nil"/>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-8.86 </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nil"/>
              <w:bottom w:val="nil"/>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收养登记</w:t>
            </w:r>
          </w:p>
        </w:tc>
        <w:tc>
          <w:tcPr>
            <w:tcW w:w="1134" w:type="dxa"/>
            <w:tcBorders>
              <w:top w:val="nil"/>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件</w:t>
            </w:r>
          </w:p>
        </w:tc>
        <w:tc>
          <w:tcPr>
            <w:tcW w:w="1431" w:type="dxa"/>
            <w:tcBorders>
              <w:top w:val="nil"/>
              <w:left w:val="single" w:color="auto" w:sz="4" w:space="0"/>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szCs w:val="24"/>
                <w:lang w:val="en-US" w:eastAsia="zh-CN"/>
              </w:rPr>
            </w:pPr>
            <w:r>
              <w:rPr>
                <w:rFonts w:hint="eastAsia" w:ascii="宋体" w:hAnsi="宋体" w:eastAsia="宋体" w:cs="宋体"/>
                <w:i w:val="0"/>
                <w:color w:val="000000"/>
                <w:kern w:val="0"/>
                <w:sz w:val="22"/>
                <w:szCs w:val="22"/>
                <w:u w:val="none"/>
                <w:lang w:val="en-US" w:eastAsia="zh-CN" w:bidi="ar"/>
              </w:rPr>
              <w:t>46</w:t>
            </w:r>
          </w:p>
        </w:tc>
        <w:tc>
          <w:tcPr>
            <w:tcW w:w="1449" w:type="dxa"/>
            <w:tcBorders>
              <w:top w:val="nil"/>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100.00 </w:t>
            </w:r>
          </w:p>
        </w:tc>
        <w:tc>
          <w:tcPr>
            <w:tcW w:w="1400" w:type="dxa"/>
            <w:tcBorders>
              <w:top w:val="nil"/>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21.05 </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nil"/>
              <w:bottom w:val="nil"/>
              <w:right w:val="single" w:color="auto" w:sz="4" w:space="0"/>
            </w:tcBorders>
            <w:vAlign w:val="center"/>
          </w:tcPr>
          <w:p>
            <w:pPr>
              <w:widowControl/>
              <w:ind w:firstLine="720" w:firstLineChars="3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涉外收养</w:t>
            </w:r>
          </w:p>
        </w:tc>
        <w:tc>
          <w:tcPr>
            <w:tcW w:w="1134" w:type="dxa"/>
            <w:tcBorders>
              <w:top w:val="nil"/>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件</w:t>
            </w:r>
          </w:p>
        </w:tc>
        <w:tc>
          <w:tcPr>
            <w:tcW w:w="1431" w:type="dxa"/>
            <w:tcBorders>
              <w:top w:val="nil"/>
              <w:left w:val="single" w:color="auto" w:sz="4" w:space="0"/>
              <w:bottom w:val="nil"/>
              <w:right w:val="nil"/>
            </w:tcBorders>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4"/>
                <w:szCs w:val="24"/>
              </w:rPr>
            </w:pPr>
            <w:r>
              <w:rPr>
                <w:rFonts w:hint="eastAsia" w:ascii="宋体" w:hAnsi="宋体" w:eastAsia="宋体" w:cs="宋体"/>
                <w:i w:val="0"/>
                <w:color w:val="000000"/>
                <w:kern w:val="0"/>
                <w:sz w:val="22"/>
                <w:szCs w:val="22"/>
                <w:u w:val="none"/>
                <w:lang w:val="en-US" w:eastAsia="zh-CN" w:bidi="ar"/>
              </w:rPr>
              <w:t>0</w:t>
            </w:r>
          </w:p>
        </w:tc>
        <w:tc>
          <w:tcPr>
            <w:tcW w:w="1449" w:type="dxa"/>
            <w:tcBorders>
              <w:top w:val="nil"/>
              <w:left w:val="nil"/>
              <w:bottom w:val="nil"/>
              <w:right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eastAsia" w:ascii="仿宋_GB2312" w:hAnsi="Arial" w:eastAsia="仿宋_GB2312" w:cs="仿宋_GB2312"/>
                <w:i w:val="0"/>
                <w:color w:val="000000"/>
                <w:kern w:val="0"/>
                <w:sz w:val="24"/>
                <w:szCs w:val="24"/>
                <w:u w:val="none"/>
                <w:lang w:val="en-US" w:eastAsia="zh-CN" w:bidi="ar"/>
              </w:rPr>
              <w:t>——</w:t>
            </w:r>
          </w:p>
        </w:tc>
        <w:tc>
          <w:tcPr>
            <w:tcW w:w="1400" w:type="dxa"/>
            <w:tcBorders>
              <w:top w:val="nil"/>
              <w:left w:val="nil"/>
              <w:bottom w:val="nil"/>
              <w:right w:val="nil"/>
            </w:tcBorders>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-100.00 </w:t>
            </w:r>
          </w:p>
        </w:tc>
      </w:tr>
      <w:tr>
        <w:tblPrEx>
          <w:tblBorders>
            <w:top w:val="single" w:color="auto" w:sz="4" w:space="0"/>
            <w:left w:val="none" w:color="auto" w:sz="0" w:space="0"/>
            <w:bottom w:val="single" w:color="auto" w:sz="4" w:space="0"/>
            <w:right w:val="none" w:color="auto" w:sz="0" w:space="0"/>
            <w:insideH w:val="none" w:color="auto" w:sz="0" w:space="0"/>
            <w:insideV w:val="single" w:color="auto" w:sz="4" w:space="0"/>
          </w:tblBorders>
          <w:tblLayout w:type="fixed"/>
          <w:tblCellMar>
            <w:top w:w="0" w:type="dxa"/>
            <w:left w:w="108" w:type="dxa"/>
            <w:bottom w:w="0" w:type="dxa"/>
            <w:right w:w="108" w:type="dxa"/>
          </w:tblCellMar>
        </w:tblPrEx>
        <w:trPr>
          <w:trHeight w:val="340" w:hRule="atLeast"/>
        </w:trPr>
        <w:tc>
          <w:tcPr>
            <w:tcW w:w="3572" w:type="dxa"/>
            <w:tcBorders>
              <w:top w:val="nil"/>
              <w:bottom w:val="single" w:color="auto" w:sz="4" w:space="0"/>
              <w:right w:val="single" w:color="auto" w:sz="4" w:space="0"/>
            </w:tcBorders>
            <w:vAlign w:val="center"/>
          </w:tcPr>
          <w:p>
            <w:pPr>
              <w:widowControl/>
              <w:ind w:firstLine="240" w:firstLineChars="100"/>
              <w:jc w:val="left"/>
              <w:rPr>
                <w:rFonts w:hint="eastAsia" w:ascii="仿宋_GB2312" w:hAnsi="仿宋_GB2312" w:eastAsia="仿宋_GB2312" w:cs="仿宋_GB2312"/>
                <w:kern w:val="0"/>
                <w:sz w:val="24"/>
                <w:szCs w:val="24"/>
              </w:rPr>
            </w:pPr>
          </w:p>
        </w:tc>
        <w:tc>
          <w:tcPr>
            <w:tcW w:w="1134" w:type="dxa"/>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kern w:val="0"/>
                <w:sz w:val="24"/>
                <w:szCs w:val="24"/>
              </w:rPr>
            </w:pPr>
          </w:p>
        </w:tc>
        <w:tc>
          <w:tcPr>
            <w:tcW w:w="1431" w:type="dxa"/>
            <w:tcBorders>
              <w:top w:val="nil"/>
              <w:left w:val="single" w:color="auto" w:sz="4" w:space="0"/>
              <w:bottom w:val="single" w:color="auto" w:sz="4" w:space="0"/>
              <w:right w:val="nil"/>
            </w:tcBorders>
            <w:vAlign w:val="bottom"/>
          </w:tcPr>
          <w:p>
            <w:pPr>
              <w:jc w:val="center"/>
              <w:rPr>
                <w:rFonts w:hint="eastAsia" w:ascii="仿宋_GB2312" w:hAnsi="仿宋_GB2312" w:eastAsia="仿宋_GB2312" w:cs="仿宋_GB2312"/>
                <w:color w:val="000000"/>
                <w:sz w:val="24"/>
                <w:szCs w:val="24"/>
                <w:lang w:eastAsia="zh-CN"/>
              </w:rPr>
            </w:pPr>
          </w:p>
        </w:tc>
        <w:tc>
          <w:tcPr>
            <w:tcW w:w="1449" w:type="dxa"/>
            <w:tcBorders>
              <w:top w:val="nil"/>
              <w:left w:val="nil"/>
              <w:bottom w:val="single" w:color="auto" w:sz="4" w:space="0"/>
              <w:right w:val="nil"/>
            </w:tcBorders>
            <w:vAlign w:val="bottom"/>
          </w:tcPr>
          <w:p>
            <w:pPr>
              <w:jc w:val="center"/>
              <w:rPr>
                <w:rFonts w:hint="eastAsia" w:ascii="仿宋_GB2312" w:hAnsi="仿宋_GB2312" w:eastAsia="仿宋_GB2312" w:cs="仿宋_GB2312"/>
                <w:color w:val="000000"/>
                <w:sz w:val="24"/>
                <w:szCs w:val="24"/>
                <w:lang w:val="en-US" w:eastAsia="zh-CN"/>
              </w:rPr>
            </w:pPr>
          </w:p>
        </w:tc>
        <w:tc>
          <w:tcPr>
            <w:tcW w:w="1400" w:type="dxa"/>
            <w:tcBorders>
              <w:top w:val="nil"/>
              <w:left w:val="nil"/>
              <w:bottom w:val="single" w:color="auto" w:sz="4" w:space="0"/>
              <w:right w:val="nil"/>
            </w:tcBorders>
            <w:vAlign w:val="bottom"/>
          </w:tcPr>
          <w:p>
            <w:pPr>
              <w:jc w:val="center"/>
              <w:rPr>
                <w:rFonts w:hint="eastAsia" w:ascii="仿宋_GB2312" w:hAnsi="仿宋_GB2312" w:eastAsia="仿宋_GB2312" w:cs="仿宋_GB2312"/>
                <w:color w:val="000000"/>
                <w:sz w:val="24"/>
                <w:szCs w:val="24"/>
                <w:lang w:eastAsia="zh-CN"/>
              </w:rPr>
            </w:pPr>
          </w:p>
        </w:tc>
      </w:tr>
    </w:tbl>
    <w:p>
      <w:pPr>
        <w:ind w:right="359" w:rightChars="171" w:firstLine="480" w:firstLineChars="200"/>
        <w:rPr>
          <w:rFonts w:hint="eastAsia" w:ascii="仿宋_GB2312" w:eastAsia="仿宋_GB2312"/>
          <w:sz w:val="24"/>
        </w:rPr>
      </w:pPr>
    </w:p>
    <w:p>
      <w:pPr>
        <w:ind w:right="359" w:rightChars="171" w:firstLine="480" w:firstLineChars="200"/>
        <w:rPr>
          <w:rFonts w:hint="eastAsia" w:ascii="仿宋_GB2312" w:eastAsia="仿宋_GB2312"/>
          <w:sz w:val="24"/>
        </w:rPr>
      </w:pPr>
      <w:r>
        <w:rPr>
          <w:rFonts w:hint="eastAsia" w:ascii="仿宋_GB2312" w:eastAsia="仿宋_GB2312"/>
          <w:sz w:val="24"/>
        </w:rPr>
        <w:t>截至</w:t>
      </w:r>
      <w:r>
        <w:rPr>
          <w:rFonts w:hint="eastAsia" w:ascii="仿宋_GB2312" w:eastAsia="仿宋_GB2312"/>
          <w:sz w:val="24"/>
          <w:lang w:eastAsia="zh-CN"/>
        </w:rPr>
        <w:t>2021年</w:t>
      </w:r>
      <w:r>
        <w:rPr>
          <w:rFonts w:hint="eastAsia" w:ascii="仿宋_GB2312" w:eastAsia="仿宋_GB2312"/>
          <w:sz w:val="24"/>
          <w:lang w:val="en-US" w:eastAsia="zh-CN"/>
        </w:rPr>
        <w:t>9月底</w:t>
      </w:r>
      <w:r>
        <w:rPr>
          <w:rFonts w:hint="eastAsia" w:ascii="仿宋_GB2312" w:eastAsia="仿宋_GB2312"/>
          <w:sz w:val="24"/>
        </w:rPr>
        <w:t>，全</w:t>
      </w:r>
      <w:r>
        <w:rPr>
          <w:rFonts w:hint="eastAsia" w:ascii="仿宋_GB2312" w:eastAsia="仿宋_GB2312"/>
          <w:sz w:val="24"/>
          <w:lang w:eastAsia="zh-CN"/>
        </w:rPr>
        <w:t>省</w:t>
      </w:r>
      <w:r>
        <w:rPr>
          <w:rFonts w:hint="eastAsia" w:ascii="仿宋_GB2312" w:eastAsia="仿宋_GB2312"/>
          <w:sz w:val="24"/>
        </w:rPr>
        <w:t>孤儿数为</w:t>
      </w:r>
      <w:r>
        <w:rPr>
          <w:rFonts w:hint="eastAsia" w:ascii="宋体" w:hAnsi="宋体" w:eastAsia="宋体" w:cs="宋体"/>
          <w:i w:val="0"/>
          <w:color w:val="000000"/>
          <w:kern w:val="0"/>
          <w:sz w:val="22"/>
          <w:szCs w:val="22"/>
          <w:u w:val="none"/>
          <w:lang w:val="en-US" w:eastAsia="zh-CN" w:bidi="ar"/>
        </w:rPr>
        <w:t>9203</w:t>
      </w:r>
      <w:r>
        <w:rPr>
          <w:rFonts w:hint="eastAsia" w:ascii="仿宋_GB2312" w:eastAsia="仿宋_GB2312"/>
          <w:sz w:val="24"/>
        </w:rPr>
        <w:t>人，比</w:t>
      </w:r>
      <w:r>
        <w:rPr>
          <w:rFonts w:hint="eastAsia" w:ascii="仿宋_GB2312" w:eastAsia="仿宋_GB2312"/>
          <w:sz w:val="24"/>
          <w:lang w:eastAsia="zh-CN"/>
        </w:rPr>
        <w:t>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下降</w:t>
      </w:r>
      <w:r>
        <w:rPr>
          <w:rFonts w:hint="eastAsia" w:ascii="仿宋_GB2312" w:eastAsia="仿宋_GB2312"/>
          <w:sz w:val="24"/>
          <w:lang w:val="en-US" w:eastAsia="zh-CN"/>
        </w:rPr>
        <w:t>8.38</w:t>
      </w:r>
      <w:r>
        <w:rPr>
          <w:rFonts w:hint="eastAsia" w:ascii="仿宋_GB2312" w:eastAsia="仿宋_GB2312"/>
          <w:sz w:val="24"/>
        </w:rPr>
        <w:t>%，比上年同期同比下降</w:t>
      </w:r>
      <w:r>
        <w:rPr>
          <w:rFonts w:hint="eastAsia" w:ascii="仿宋_GB2312" w:eastAsia="仿宋_GB2312"/>
          <w:sz w:val="24"/>
          <w:lang w:val="en-US" w:eastAsia="zh-CN"/>
        </w:rPr>
        <w:t>8.81</w:t>
      </w:r>
      <w:r>
        <w:rPr>
          <w:rFonts w:hint="eastAsia" w:ascii="仿宋_GB2312" w:eastAsia="仿宋_GB2312"/>
          <w:sz w:val="24"/>
        </w:rPr>
        <w:t>%，其中</w:t>
      </w:r>
      <w:r>
        <w:rPr>
          <w:rFonts w:hint="eastAsia" w:ascii="仿宋_GB2312" w:eastAsia="仿宋_GB2312"/>
          <w:sz w:val="24"/>
          <w:lang w:eastAsia="zh-CN"/>
        </w:rPr>
        <w:t>：</w:t>
      </w:r>
      <w:r>
        <w:rPr>
          <w:rFonts w:hint="eastAsia" w:ascii="仿宋_GB2312" w:eastAsia="仿宋_GB2312"/>
          <w:sz w:val="24"/>
        </w:rPr>
        <w:t>集中供养</w:t>
      </w:r>
      <w:r>
        <w:rPr>
          <w:rFonts w:hint="eastAsia" w:ascii="宋体" w:hAnsi="宋体" w:eastAsia="宋体" w:cs="宋体"/>
          <w:i w:val="0"/>
          <w:color w:val="000000"/>
          <w:kern w:val="0"/>
          <w:sz w:val="22"/>
          <w:szCs w:val="22"/>
          <w:u w:val="none"/>
          <w:lang w:val="en-US" w:eastAsia="zh-CN" w:bidi="ar"/>
        </w:rPr>
        <w:t>1472</w:t>
      </w:r>
      <w:r>
        <w:rPr>
          <w:rFonts w:hint="eastAsia" w:ascii="仿宋_GB2312" w:eastAsia="仿宋_GB2312"/>
          <w:sz w:val="24"/>
        </w:rPr>
        <w:t>人，比</w:t>
      </w:r>
      <w:r>
        <w:rPr>
          <w:rFonts w:hint="eastAsia" w:ascii="仿宋_GB2312" w:eastAsia="仿宋_GB2312"/>
          <w:sz w:val="24"/>
          <w:lang w:eastAsia="zh-CN"/>
        </w:rPr>
        <w:t>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下降</w:t>
      </w:r>
      <w:r>
        <w:rPr>
          <w:rFonts w:hint="eastAsia" w:ascii="仿宋_GB2312" w:eastAsia="仿宋_GB2312"/>
          <w:sz w:val="24"/>
          <w:lang w:val="en-US" w:eastAsia="zh-CN"/>
        </w:rPr>
        <w:t>4.72</w:t>
      </w:r>
      <w:r>
        <w:rPr>
          <w:rFonts w:hint="eastAsia" w:ascii="仿宋_GB2312" w:eastAsia="仿宋_GB2312"/>
          <w:sz w:val="24"/>
        </w:rPr>
        <w:t>%，比上年同期同比下降</w:t>
      </w:r>
      <w:r>
        <w:rPr>
          <w:rFonts w:hint="eastAsia" w:ascii="仿宋_GB2312" w:eastAsia="仿宋_GB2312"/>
          <w:sz w:val="24"/>
          <w:lang w:val="en-US" w:eastAsia="zh-CN"/>
        </w:rPr>
        <w:t>8.51</w:t>
      </w:r>
      <w:r>
        <w:rPr>
          <w:rFonts w:hint="eastAsia" w:ascii="仿宋_GB2312" w:eastAsia="仿宋_GB2312"/>
          <w:sz w:val="24"/>
        </w:rPr>
        <w:t>%。</w:t>
      </w:r>
      <w:r>
        <w:rPr>
          <w:rFonts w:hint="eastAsia" w:ascii="仿宋_GB2312" w:eastAsia="仿宋_GB2312"/>
          <w:sz w:val="24"/>
          <w:lang w:eastAsia="zh-CN"/>
        </w:rPr>
        <w:t>2021年</w:t>
      </w:r>
      <w:r>
        <w:rPr>
          <w:rFonts w:hint="eastAsia" w:ascii="仿宋_GB2312" w:eastAsia="仿宋_GB2312"/>
          <w:sz w:val="24"/>
        </w:rPr>
        <w:t>1-</w:t>
      </w:r>
      <w:r>
        <w:rPr>
          <w:rFonts w:hint="eastAsia" w:ascii="仿宋_GB2312" w:eastAsia="仿宋_GB2312"/>
          <w:sz w:val="24"/>
          <w:lang w:val="en-US" w:eastAsia="zh-CN"/>
        </w:rPr>
        <w:t>9</w:t>
      </w:r>
      <w:r>
        <w:rPr>
          <w:rFonts w:hint="eastAsia" w:ascii="仿宋_GB2312" w:eastAsia="仿宋_GB2312"/>
          <w:sz w:val="24"/>
        </w:rPr>
        <w:t>月，全</w:t>
      </w:r>
      <w:r>
        <w:rPr>
          <w:rFonts w:hint="eastAsia" w:ascii="仿宋_GB2312" w:eastAsia="仿宋_GB2312"/>
          <w:sz w:val="24"/>
          <w:lang w:eastAsia="zh-CN"/>
        </w:rPr>
        <w:t>省</w:t>
      </w:r>
      <w:r>
        <w:rPr>
          <w:rFonts w:hint="eastAsia" w:ascii="仿宋_GB2312" w:eastAsia="仿宋_GB2312"/>
          <w:sz w:val="24"/>
        </w:rPr>
        <w:t>孤儿收养登记</w:t>
      </w:r>
      <w:r>
        <w:rPr>
          <w:rFonts w:hint="eastAsia" w:ascii="仿宋_GB2312" w:eastAsia="仿宋_GB2312"/>
          <w:sz w:val="24"/>
          <w:lang w:val="en-US" w:eastAsia="zh-CN"/>
        </w:rPr>
        <w:t>46件</w:t>
      </w:r>
      <w:r>
        <w:rPr>
          <w:rFonts w:hint="eastAsia" w:ascii="仿宋_GB2312" w:eastAsia="仿宋_GB2312"/>
          <w:sz w:val="24"/>
        </w:rPr>
        <w:t>。</w:t>
      </w:r>
    </w:p>
    <w:p>
      <w:pPr>
        <w:ind w:left="-359" w:leftChars="-171" w:right="359" w:rightChars="171" w:firstLine="480" w:firstLineChars="200"/>
        <w:rPr>
          <w:rFonts w:hint="eastAsia" w:ascii="仿宋_GB2312" w:eastAsia="仿宋_GB2312"/>
          <w:sz w:val="24"/>
        </w:rPr>
      </w:pPr>
    </w:p>
    <w:p>
      <w:pPr>
        <w:ind w:right="359" w:rightChars="171"/>
        <w:rPr>
          <w:rFonts w:hint="eastAsia" w:ascii="仿宋_GB2312" w:eastAsia="仿宋_GB2312"/>
          <w:sz w:val="24"/>
        </w:rPr>
      </w:pPr>
    </w:p>
    <w:p>
      <w:pPr>
        <w:spacing w:line="480" w:lineRule="auto"/>
        <w:ind w:right="359" w:rightChars="171" w:firstLine="560" w:firstLineChars="200"/>
        <w:rPr>
          <w:rFonts w:hint="eastAsia" w:ascii="宋体" w:hAnsi="宋体"/>
          <w:sz w:val="28"/>
          <w:szCs w:val="28"/>
        </w:rPr>
      </w:pPr>
      <w:r>
        <w:rPr>
          <w:rFonts w:hint="eastAsia" w:ascii="楷体_GB2312" w:hAnsi="楷体_GB2312" w:eastAsia="楷体_GB2312" w:cs="楷体_GB2312"/>
          <w:sz w:val="28"/>
          <w:szCs w:val="28"/>
          <w:lang w:val="en-US" w:eastAsia="zh-CN"/>
        </w:rPr>
        <w:t>3</w:t>
      </w:r>
      <w:r>
        <w:rPr>
          <w:rFonts w:hint="eastAsia" w:ascii="楷体_GB2312" w:hAnsi="楷体_GB2312" w:eastAsia="楷体_GB2312" w:cs="楷体_GB2312"/>
          <w:sz w:val="28"/>
          <w:szCs w:val="28"/>
        </w:rPr>
        <w:t>．为生活困难群众提供的救助服务</w:t>
      </w:r>
    </w:p>
    <w:tbl>
      <w:tblPr>
        <w:tblStyle w:val="6"/>
        <w:tblW w:w="8613" w:type="dxa"/>
        <w:tblInd w:w="0" w:type="dxa"/>
        <w:tblLayout w:type="fixed"/>
        <w:tblCellMar>
          <w:top w:w="0" w:type="dxa"/>
          <w:left w:w="108" w:type="dxa"/>
          <w:bottom w:w="0" w:type="dxa"/>
          <w:right w:w="108" w:type="dxa"/>
        </w:tblCellMar>
      </w:tblPr>
      <w:tblGrid>
        <w:gridCol w:w="3579"/>
        <w:gridCol w:w="1337"/>
        <w:gridCol w:w="1288"/>
        <w:gridCol w:w="1212"/>
        <w:gridCol w:w="1197"/>
      </w:tblGrid>
      <w:tr>
        <w:tblPrEx>
          <w:tblLayout w:type="fixed"/>
          <w:tblCellMar>
            <w:top w:w="0" w:type="dxa"/>
            <w:left w:w="108" w:type="dxa"/>
            <w:bottom w:w="0" w:type="dxa"/>
            <w:right w:w="108" w:type="dxa"/>
          </w:tblCellMar>
        </w:tblPrEx>
        <w:trPr>
          <w:trHeight w:val="459" w:hRule="atLeast"/>
        </w:trPr>
        <w:tc>
          <w:tcPr>
            <w:tcW w:w="3579" w:type="dxa"/>
            <w:tcBorders>
              <w:top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指      标</w:t>
            </w:r>
          </w:p>
        </w:tc>
        <w:tc>
          <w:tcPr>
            <w:tcW w:w="1337"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单 位</w:t>
            </w:r>
          </w:p>
        </w:tc>
        <w:tc>
          <w:tcPr>
            <w:tcW w:w="1288"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数    量</w:t>
            </w:r>
          </w:p>
        </w:tc>
        <w:tc>
          <w:tcPr>
            <w:tcW w:w="121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环比（%）</w:t>
            </w:r>
          </w:p>
        </w:tc>
        <w:tc>
          <w:tcPr>
            <w:tcW w:w="1197" w:type="dxa"/>
            <w:tcBorders>
              <w:top w:val="single" w:color="auto" w:sz="4" w:space="0"/>
              <w:left w:val="single" w:color="auto" w:sz="4" w:space="0"/>
              <w:bottom w:val="single" w:color="auto" w:sz="4" w:space="0"/>
            </w:tcBorders>
            <w:vAlign w:val="center"/>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同比（％）</w:t>
            </w:r>
          </w:p>
        </w:tc>
      </w:tr>
      <w:tr>
        <w:tblPrEx>
          <w:tblLayout w:type="fixed"/>
          <w:tblCellMar>
            <w:top w:w="0" w:type="dxa"/>
            <w:left w:w="108" w:type="dxa"/>
            <w:bottom w:w="0" w:type="dxa"/>
            <w:right w:w="108" w:type="dxa"/>
          </w:tblCellMar>
        </w:tblPrEx>
        <w:trPr>
          <w:trHeight w:val="323" w:hRule="atLeast"/>
        </w:trPr>
        <w:tc>
          <w:tcPr>
            <w:tcW w:w="3579" w:type="dxa"/>
            <w:tcBorders>
              <w:top w:val="nil"/>
              <w:bottom w:val="nil"/>
              <w:right w:val="single" w:color="auto" w:sz="4" w:space="0"/>
            </w:tcBorders>
            <w:vAlign w:val="center"/>
          </w:tcPr>
          <w:p>
            <w:pPr>
              <w:widowControl/>
              <w:jc w:val="left"/>
              <w:rPr>
                <w:rFonts w:hint="eastAsia" w:ascii="仿宋_GB2312" w:hAnsi="仿宋_GB2312" w:eastAsia="仿宋_GB2312" w:cs="仿宋_GB2312"/>
                <w:b/>
                <w:kern w:val="0"/>
                <w:sz w:val="24"/>
                <w:szCs w:val="24"/>
              </w:rPr>
            </w:pPr>
            <w:r>
              <w:rPr>
                <w:rFonts w:hint="eastAsia" w:ascii="仿宋_GB2312" w:hAnsi="仿宋_GB2312" w:eastAsia="仿宋_GB2312" w:cs="仿宋_GB2312"/>
                <w:b/>
                <w:kern w:val="0"/>
                <w:sz w:val="24"/>
                <w:szCs w:val="24"/>
              </w:rPr>
              <w:t>一、最低生活保障</w:t>
            </w:r>
          </w:p>
        </w:tc>
        <w:tc>
          <w:tcPr>
            <w:tcW w:w="1337" w:type="dxa"/>
            <w:tcBorders>
              <w:top w:val="nil"/>
              <w:left w:val="nil"/>
              <w:right w:val="single" w:color="auto" w:sz="4" w:space="0"/>
            </w:tcBorders>
            <w:vAlign w:val="center"/>
          </w:tcPr>
          <w:p>
            <w:pPr>
              <w:widowControl/>
              <w:jc w:val="center"/>
              <w:rPr>
                <w:rFonts w:hint="eastAsia" w:ascii="仿宋_GB2312" w:hAnsi="仿宋_GB2312" w:eastAsia="仿宋_GB2312" w:cs="仿宋_GB2312"/>
                <w:kern w:val="0"/>
                <w:sz w:val="24"/>
                <w:szCs w:val="24"/>
              </w:rPr>
            </w:pPr>
          </w:p>
        </w:tc>
        <w:tc>
          <w:tcPr>
            <w:tcW w:w="1288" w:type="dxa"/>
            <w:tcBorders>
              <w:top w:val="nil"/>
              <w:left w:val="nil"/>
              <w:bottom w:val="nil"/>
            </w:tcBorders>
            <w:vAlign w:val="bottom"/>
          </w:tcPr>
          <w:p>
            <w:pPr>
              <w:rPr>
                <w:rFonts w:hint="eastAsia" w:ascii="仿宋_GB2312" w:hAnsi="仿宋_GB2312" w:eastAsia="仿宋_GB2312" w:cs="仿宋_GB2312"/>
                <w:sz w:val="24"/>
                <w:szCs w:val="24"/>
              </w:rPr>
            </w:pPr>
          </w:p>
        </w:tc>
        <w:tc>
          <w:tcPr>
            <w:tcW w:w="1212" w:type="dxa"/>
            <w:tcBorders>
              <w:top w:val="nil"/>
              <w:bottom w:val="nil"/>
            </w:tcBorders>
            <w:vAlign w:val="bottom"/>
          </w:tcPr>
          <w:p>
            <w:pPr>
              <w:jc w:val="center"/>
              <w:rPr>
                <w:rFonts w:hint="eastAsia" w:ascii="仿宋_GB2312" w:hAnsi="仿宋_GB2312" w:eastAsia="仿宋_GB2312" w:cs="仿宋_GB2312"/>
                <w:sz w:val="24"/>
                <w:szCs w:val="24"/>
              </w:rPr>
            </w:pPr>
          </w:p>
        </w:tc>
        <w:tc>
          <w:tcPr>
            <w:tcW w:w="1197" w:type="dxa"/>
            <w:tcBorders>
              <w:top w:val="nil"/>
              <w:left w:val="nil"/>
              <w:bottom w:val="nil"/>
            </w:tcBorders>
            <w:vAlign w:val="bottom"/>
          </w:tcPr>
          <w:p>
            <w:pPr>
              <w:jc w:val="center"/>
              <w:rPr>
                <w:rFonts w:hint="eastAsia" w:ascii="仿宋_GB2312" w:hAnsi="仿宋_GB2312" w:eastAsia="仿宋_GB2312" w:cs="仿宋_GB2312"/>
                <w:sz w:val="24"/>
                <w:szCs w:val="24"/>
              </w:rPr>
            </w:pPr>
          </w:p>
        </w:tc>
      </w:tr>
      <w:tr>
        <w:tblPrEx>
          <w:tblLayout w:type="fixed"/>
          <w:tblCellMar>
            <w:top w:w="0" w:type="dxa"/>
            <w:left w:w="108" w:type="dxa"/>
            <w:bottom w:w="0" w:type="dxa"/>
            <w:right w:w="108" w:type="dxa"/>
          </w:tblCellMar>
        </w:tblPrEx>
        <w:trPr>
          <w:trHeight w:val="323" w:hRule="atLeast"/>
        </w:trPr>
        <w:tc>
          <w:tcPr>
            <w:tcW w:w="3579" w:type="dxa"/>
            <w:tcBorders>
              <w:top w:val="nil"/>
              <w:bottom w:val="nil"/>
              <w:right w:val="single" w:color="auto" w:sz="4" w:space="0"/>
            </w:tcBorders>
            <w:vAlign w:val="center"/>
          </w:tcPr>
          <w:p>
            <w:pPr>
              <w:widowControl/>
              <w:jc w:val="left"/>
              <w:rPr>
                <w:rFonts w:hint="eastAsia" w:ascii="仿宋_GB2312" w:hAnsi="仿宋_GB2312" w:eastAsia="仿宋_GB2312" w:cs="仿宋_GB2312"/>
                <w:b/>
                <w:kern w:val="0"/>
                <w:sz w:val="24"/>
                <w:szCs w:val="24"/>
              </w:rPr>
            </w:pPr>
            <w:r>
              <w:rPr>
                <w:rFonts w:hint="eastAsia" w:ascii="仿宋_GB2312" w:hAnsi="仿宋_GB2312" w:eastAsia="仿宋_GB2312" w:cs="仿宋_GB2312"/>
                <w:b/>
                <w:kern w:val="0"/>
                <w:sz w:val="24"/>
                <w:szCs w:val="24"/>
              </w:rPr>
              <w:t>城市最低生活保障</w:t>
            </w:r>
          </w:p>
        </w:tc>
        <w:tc>
          <w:tcPr>
            <w:tcW w:w="1337" w:type="dxa"/>
            <w:tcBorders>
              <w:top w:val="nil"/>
              <w:left w:val="nil"/>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p>
        </w:tc>
        <w:tc>
          <w:tcPr>
            <w:tcW w:w="1288" w:type="dxa"/>
            <w:tcBorders>
              <w:top w:val="nil"/>
              <w:left w:val="nil"/>
            </w:tcBorders>
            <w:vAlign w:val="bottom"/>
          </w:tcPr>
          <w:p>
            <w:pPr>
              <w:rPr>
                <w:rFonts w:hint="eastAsia" w:ascii="仿宋_GB2312" w:hAnsi="仿宋_GB2312" w:eastAsia="仿宋_GB2312" w:cs="仿宋_GB2312"/>
                <w:sz w:val="24"/>
                <w:szCs w:val="24"/>
              </w:rPr>
            </w:pPr>
          </w:p>
        </w:tc>
        <w:tc>
          <w:tcPr>
            <w:tcW w:w="1212" w:type="dxa"/>
            <w:tcBorders>
              <w:top w:val="nil"/>
            </w:tcBorders>
            <w:vAlign w:val="bottom"/>
          </w:tcPr>
          <w:p>
            <w:pPr>
              <w:jc w:val="center"/>
              <w:rPr>
                <w:rFonts w:hint="eastAsia" w:ascii="仿宋_GB2312" w:hAnsi="仿宋_GB2312" w:eastAsia="仿宋_GB2312" w:cs="仿宋_GB2312"/>
                <w:sz w:val="24"/>
                <w:szCs w:val="24"/>
              </w:rPr>
            </w:pPr>
          </w:p>
        </w:tc>
        <w:tc>
          <w:tcPr>
            <w:tcW w:w="1197" w:type="dxa"/>
            <w:tcBorders>
              <w:top w:val="nil"/>
              <w:left w:val="nil"/>
            </w:tcBorders>
            <w:vAlign w:val="bottom"/>
          </w:tcPr>
          <w:p>
            <w:pPr>
              <w:jc w:val="center"/>
              <w:rPr>
                <w:rFonts w:hint="eastAsia" w:ascii="仿宋_GB2312" w:hAnsi="仿宋_GB2312" w:eastAsia="仿宋_GB2312" w:cs="仿宋_GB2312"/>
                <w:sz w:val="24"/>
                <w:szCs w:val="24"/>
              </w:rPr>
            </w:pPr>
          </w:p>
        </w:tc>
      </w:tr>
      <w:tr>
        <w:tblPrEx>
          <w:tblLayout w:type="fixed"/>
          <w:tblCellMar>
            <w:top w:w="0" w:type="dxa"/>
            <w:left w:w="108" w:type="dxa"/>
            <w:bottom w:w="0" w:type="dxa"/>
            <w:right w:w="108" w:type="dxa"/>
          </w:tblCellMar>
        </w:tblPrEx>
        <w:trPr>
          <w:trHeight w:val="323" w:hRule="atLeast"/>
        </w:trPr>
        <w:tc>
          <w:tcPr>
            <w:tcW w:w="3579" w:type="dxa"/>
            <w:tcBorders>
              <w:top w:val="nil"/>
              <w:bottom w:val="nil"/>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保障人数</w:t>
            </w:r>
          </w:p>
        </w:tc>
        <w:tc>
          <w:tcPr>
            <w:tcW w:w="1337" w:type="dxa"/>
            <w:tcBorders>
              <w:top w:val="nil"/>
              <w:left w:val="nil"/>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lang w:eastAsia="zh-CN"/>
              </w:rPr>
              <w:t>万</w:t>
            </w:r>
            <w:r>
              <w:rPr>
                <w:rFonts w:hint="eastAsia" w:ascii="仿宋_GB2312" w:hAnsi="仿宋_GB2312" w:eastAsia="仿宋_GB2312" w:cs="仿宋_GB2312"/>
                <w:kern w:val="0"/>
                <w:sz w:val="24"/>
                <w:szCs w:val="24"/>
              </w:rPr>
              <w:t>人</w:t>
            </w:r>
          </w:p>
        </w:tc>
        <w:tc>
          <w:tcPr>
            <w:tcW w:w="1288" w:type="dxa"/>
            <w:tcBorders>
              <w:left w:val="single" w:color="auto" w:sz="4" w:space="0"/>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kern w:val="0"/>
                <w:sz w:val="24"/>
                <w:szCs w:val="24"/>
                <w:lang w:val="en-US" w:eastAsia="zh-CN"/>
              </w:rPr>
            </w:pPr>
            <w:r>
              <w:rPr>
                <w:rFonts w:hint="default" w:ascii="Arial" w:hAnsi="Arial" w:eastAsia="宋体" w:cs="Arial"/>
                <w:i w:val="0"/>
                <w:color w:val="000000"/>
                <w:kern w:val="0"/>
                <w:sz w:val="20"/>
                <w:szCs w:val="20"/>
                <w:u w:val="none"/>
                <w:lang w:val="en-US" w:eastAsia="zh-CN" w:bidi="ar"/>
              </w:rPr>
              <w:t>60.94</w:t>
            </w:r>
          </w:p>
        </w:tc>
        <w:tc>
          <w:tcPr>
            <w:tcW w:w="1212" w:type="dxa"/>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szCs w:val="24"/>
                <w:lang w:val="en-US" w:eastAsia="zh-CN"/>
              </w:rPr>
            </w:pPr>
            <w:r>
              <w:rPr>
                <w:rFonts w:hint="default" w:ascii="Arial" w:hAnsi="Arial" w:eastAsia="宋体" w:cs="Arial"/>
                <w:i w:val="0"/>
                <w:color w:val="000000"/>
                <w:kern w:val="0"/>
                <w:sz w:val="20"/>
                <w:szCs w:val="20"/>
                <w:u w:val="none"/>
                <w:lang w:val="en-US" w:eastAsia="zh-CN" w:bidi="ar"/>
              </w:rPr>
              <w:t>0.05</w:t>
            </w:r>
          </w:p>
        </w:tc>
        <w:tc>
          <w:tcPr>
            <w:tcW w:w="1197" w:type="dxa"/>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-0.88</w:t>
            </w:r>
          </w:p>
        </w:tc>
      </w:tr>
      <w:tr>
        <w:tblPrEx>
          <w:tblLayout w:type="fixed"/>
          <w:tblCellMar>
            <w:top w:w="0" w:type="dxa"/>
            <w:left w:w="108" w:type="dxa"/>
            <w:bottom w:w="0" w:type="dxa"/>
            <w:right w:w="108" w:type="dxa"/>
          </w:tblCellMar>
        </w:tblPrEx>
        <w:trPr>
          <w:trHeight w:val="323" w:hRule="atLeast"/>
        </w:trPr>
        <w:tc>
          <w:tcPr>
            <w:tcW w:w="3579" w:type="dxa"/>
            <w:tcBorders>
              <w:top w:val="nil"/>
              <w:bottom w:val="nil"/>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保障户数</w:t>
            </w:r>
          </w:p>
        </w:tc>
        <w:tc>
          <w:tcPr>
            <w:tcW w:w="1337" w:type="dxa"/>
            <w:tcBorders>
              <w:top w:val="nil"/>
              <w:left w:val="nil"/>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lang w:eastAsia="zh-CN"/>
              </w:rPr>
              <w:t>万</w:t>
            </w:r>
            <w:r>
              <w:rPr>
                <w:rFonts w:hint="eastAsia" w:ascii="仿宋_GB2312" w:hAnsi="仿宋_GB2312" w:eastAsia="仿宋_GB2312" w:cs="仿宋_GB2312"/>
                <w:kern w:val="0"/>
                <w:sz w:val="24"/>
                <w:szCs w:val="24"/>
              </w:rPr>
              <w:t>户</w:t>
            </w:r>
          </w:p>
        </w:tc>
        <w:tc>
          <w:tcPr>
            <w:tcW w:w="1288" w:type="dxa"/>
            <w:tcBorders>
              <w:top w:val="nil"/>
              <w:left w:val="single" w:color="auto" w:sz="4" w:space="0"/>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24.42</w:t>
            </w:r>
          </w:p>
        </w:tc>
        <w:tc>
          <w:tcPr>
            <w:tcW w:w="1212"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-0.06</w:t>
            </w:r>
          </w:p>
        </w:tc>
        <w:tc>
          <w:tcPr>
            <w:tcW w:w="1197"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-1.27</w:t>
            </w:r>
          </w:p>
        </w:tc>
      </w:tr>
      <w:tr>
        <w:tblPrEx>
          <w:tblLayout w:type="fixed"/>
          <w:tblCellMar>
            <w:top w:w="0" w:type="dxa"/>
            <w:left w:w="108" w:type="dxa"/>
            <w:bottom w:w="0" w:type="dxa"/>
            <w:right w:w="108" w:type="dxa"/>
          </w:tblCellMar>
        </w:tblPrEx>
        <w:trPr>
          <w:trHeight w:val="323" w:hRule="atLeast"/>
        </w:trPr>
        <w:tc>
          <w:tcPr>
            <w:tcW w:w="3579" w:type="dxa"/>
            <w:tcBorders>
              <w:top w:val="nil"/>
              <w:bottom w:val="nil"/>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b/>
                <w:kern w:val="0"/>
                <w:sz w:val="24"/>
                <w:szCs w:val="24"/>
              </w:rPr>
              <w:t>农村最低生活保障</w:t>
            </w:r>
          </w:p>
        </w:tc>
        <w:tc>
          <w:tcPr>
            <w:tcW w:w="1337" w:type="dxa"/>
            <w:tcBorders>
              <w:top w:val="nil"/>
              <w:left w:val="nil"/>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p>
        </w:tc>
        <w:tc>
          <w:tcPr>
            <w:tcW w:w="1288" w:type="dxa"/>
            <w:tcBorders>
              <w:top w:val="nil"/>
              <w:left w:val="single" w:color="auto" w:sz="4" w:space="0"/>
              <w:bottom w:val="nil"/>
            </w:tcBorders>
            <w:vAlign w:val="bottom"/>
          </w:tcPr>
          <w:p>
            <w:pPr>
              <w:jc w:val="center"/>
              <w:rPr>
                <w:rFonts w:hint="eastAsia" w:ascii="仿宋_GB2312" w:hAnsi="仿宋_GB2312" w:eastAsia="仿宋_GB2312" w:cs="仿宋_GB2312"/>
                <w:color w:val="000000"/>
                <w:sz w:val="24"/>
                <w:szCs w:val="24"/>
              </w:rPr>
            </w:pPr>
          </w:p>
        </w:tc>
        <w:tc>
          <w:tcPr>
            <w:tcW w:w="1212" w:type="dxa"/>
            <w:tcBorders>
              <w:top w:val="nil"/>
              <w:bottom w:val="nil"/>
            </w:tcBorders>
            <w:vAlign w:val="bottom"/>
          </w:tcPr>
          <w:p>
            <w:pPr>
              <w:jc w:val="center"/>
              <w:rPr>
                <w:rFonts w:hint="eastAsia" w:ascii="仿宋_GB2312" w:hAnsi="仿宋_GB2312" w:eastAsia="仿宋_GB2312" w:cs="仿宋_GB2312"/>
                <w:color w:val="000000"/>
                <w:sz w:val="24"/>
                <w:szCs w:val="24"/>
              </w:rPr>
            </w:pPr>
          </w:p>
        </w:tc>
        <w:tc>
          <w:tcPr>
            <w:tcW w:w="1197" w:type="dxa"/>
            <w:tcBorders>
              <w:top w:val="nil"/>
              <w:left w:val="nil"/>
              <w:bottom w:val="nil"/>
            </w:tcBorders>
            <w:vAlign w:val="bottom"/>
          </w:tcPr>
          <w:p>
            <w:pPr>
              <w:jc w:val="center"/>
              <w:rPr>
                <w:rFonts w:hint="eastAsia" w:ascii="仿宋_GB2312" w:hAnsi="仿宋_GB2312" w:eastAsia="仿宋_GB2312" w:cs="仿宋_GB2312"/>
                <w:color w:val="000000"/>
                <w:sz w:val="24"/>
                <w:szCs w:val="24"/>
              </w:rPr>
            </w:pPr>
          </w:p>
        </w:tc>
      </w:tr>
      <w:tr>
        <w:tblPrEx>
          <w:tblLayout w:type="fixed"/>
          <w:tblCellMar>
            <w:top w:w="0" w:type="dxa"/>
            <w:left w:w="108" w:type="dxa"/>
            <w:bottom w:w="0" w:type="dxa"/>
            <w:right w:w="108" w:type="dxa"/>
          </w:tblCellMar>
        </w:tblPrEx>
        <w:trPr>
          <w:trHeight w:val="323" w:hRule="atLeast"/>
        </w:trPr>
        <w:tc>
          <w:tcPr>
            <w:tcW w:w="3579" w:type="dxa"/>
            <w:tcBorders>
              <w:top w:val="nil"/>
              <w:bottom w:val="nil"/>
              <w:right w:val="single" w:color="auto" w:sz="4" w:space="0"/>
            </w:tcBorders>
            <w:vAlign w:val="center"/>
          </w:tcPr>
          <w:p>
            <w:pPr>
              <w:widowControl/>
              <w:jc w:val="left"/>
              <w:rPr>
                <w:rFonts w:hint="eastAsia" w:ascii="仿宋_GB2312" w:hAnsi="仿宋_GB2312" w:eastAsia="仿宋_GB2312" w:cs="仿宋_GB2312"/>
                <w:b/>
                <w:kern w:val="0"/>
                <w:sz w:val="24"/>
                <w:szCs w:val="24"/>
              </w:rPr>
            </w:pPr>
            <w:r>
              <w:rPr>
                <w:rFonts w:hint="eastAsia" w:ascii="仿宋_GB2312" w:hAnsi="仿宋_GB2312" w:eastAsia="仿宋_GB2312" w:cs="仿宋_GB2312"/>
                <w:kern w:val="0"/>
                <w:sz w:val="24"/>
                <w:szCs w:val="24"/>
              </w:rPr>
              <w:t xml:space="preserve">  保障人数</w:t>
            </w:r>
          </w:p>
        </w:tc>
        <w:tc>
          <w:tcPr>
            <w:tcW w:w="1337" w:type="dxa"/>
            <w:tcBorders>
              <w:top w:val="nil"/>
              <w:left w:val="nil"/>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万人</w:t>
            </w:r>
          </w:p>
        </w:tc>
        <w:tc>
          <w:tcPr>
            <w:tcW w:w="1288" w:type="dxa"/>
            <w:tcBorders>
              <w:left w:val="single" w:color="auto" w:sz="4" w:space="0"/>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kern w:val="0"/>
                <w:sz w:val="24"/>
                <w:szCs w:val="24"/>
                <w:lang w:val="en-US" w:eastAsia="zh-CN"/>
              </w:rPr>
            </w:pPr>
            <w:r>
              <w:rPr>
                <w:rFonts w:hint="default" w:ascii="Arial" w:hAnsi="Arial" w:eastAsia="宋体" w:cs="Arial"/>
                <w:i w:val="0"/>
                <w:color w:val="000000"/>
                <w:kern w:val="0"/>
                <w:sz w:val="20"/>
                <w:szCs w:val="20"/>
                <w:u w:val="none"/>
                <w:lang w:val="en-US" w:eastAsia="zh-CN" w:bidi="ar"/>
              </w:rPr>
              <w:t>189.46</w:t>
            </w:r>
          </w:p>
        </w:tc>
        <w:tc>
          <w:tcPr>
            <w:tcW w:w="1212" w:type="dxa"/>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szCs w:val="24"/>
                <w:lang w:val="en-US" w:eastAsia="zh-CN"/>
              </w:rPr>
            </w:pPr>
            <w:r>
              <w:rPr>
                <w:rFonts w:hint="default" w:ascii="Arial" w:hAnsi="Arial" w:eastAsia="宋体" w:cs="Arial"/>
                <w:i w:val="0"/>
                <w:color w:val="000000"/>
                <w:kern w:val="0"/>
                <w:sz w:val="20"/>
                <w:szCs w:val="20"/>
                <w:u w:val="none"/>
                <w:lang w:val="en-US" w:eastAsia="zh-CN" w:bidi="ar"/>
              </w:rPr>
              <w:t>-0.71</w:t>
            </w:r>
          </w:p>
        </w:tc>
        <w:tc>
          <w:tcPr>
            <w:tcW w:w="1197" w:type="dxa"/>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-5.97</w:t>
            </w:r>
          </w:p>
        </w:tc>
      </w:tr>
      <w:tr>
        <w:tblPrEx>
          <w:tblLayout w:type="fixed"/>
          <w:tblCellMar>
            <w:top w:w="0" w:type="dxa"/>
            <w:left w:w="108" w:type="dxa"/>
            <w:bottom w:w="0" w:type="dxa"/>
            <w:right w:w="108" w:type="dxa"/>
          </w:tblCellMar>
        </w:tblPrEx>
        <w:trPr>
          <w:trHeight w:val="323" w:hRule="atLeast"/>
        </w:trPr>
        <w:tc>
          <w:tcPr>
            <w:tcW w:w="3579" w:type="dxa"/>
            <w:tcBorders>
              <w:top w:val="nil"/>
              <w:bottom w:val="nil"/>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保障户数</w:t>
            </w:r>
          </w:p>
        </w:tc>
        <w:tc>
          <w:tcPr>
            <w:tcW w:w="1337" w:type="dxa"/>
            <w:tcBorders>
              <w:top w:val="nil"/>
              <w:left w:val="nil"/>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万户</w:t>
            </w:r>
          </w:p>
        </w:tc>
        <w:tc>
          <w:tcPr>
            <w:tcW w:w="1288" w:type="dxa"/>
            <w:tcBorders>
              <w:top w:val="nil"/>
              <w:left w:val="single" w:color="auto" w:sz="4" w:space="0"/>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80.17</w:t>
            </w:r>
          </w:p>
        </w:tc>
        <w:tc>
          <w:tcPr>
            <w:tcW w:w="1212"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-0.60</w:t>
            </w:r>
          </w:p>
        </w:tc>
        <w:tc>
          <w:tcPr>
            <w:tcW w:w="1197"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-4.32</w:t>
            </w:r>
          </w:p>
        </w:tc>
      </w:tr>
      <w:tr>
        <w:tblPrEx>
          <w:tblLayout w:type="fixed"/>
          <w:tblCellMar>
            <w:top w:w="0" w:type="dxa"/>
            <w:left w:w="108" w:type="dxa"/>
            <w:bottom w:w="0" w:type="dxa"/>
            <w:right w:w="108" w:type="dxa"/>
          </w:tblCellMar>
        </w:tblPrEx>
        <w:trPr>
          <w:trHeight w:val="323" w:hRule="atLeast"/>
        </w:trPr>
        <w:tc>
          <w:tcPr>
            <w:tcW w:w="3579" w:type="dxa"/>
            <w:tcBorders>
              <w:top w:val="nil"/>
              <w:bottom w:val="nil"/>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b/>
                <w:kern w:val="0"/>
                <w:sz w:val="24"/>
                <w:szCs w:val="24"/>
                <w:lang w:eastAsia="zh-CN"/>
              </w:rPr>
              <w:t>二</w:t>
            </w:r>
            <w:r>
              <w:rPr>
                <w:rFonts w:hint="eastAsia" w:ascii="仿宋_GB2312" w:hAnsi="仿宋_GB2312" w:eastAsia="仿宋_GB2312" w:cs="仿宋_GB2312"/>
                <w:b/>
                <w:kern w:val="0"/>
                <w:sz w:val="24"/>
                <w:szCs w:val="24"/>
              </w:rPr>
              <w:t>、临时救助</w:t>
            </w:r>
          </w:p>
        </w:tc>
        <w:tc>
          <w:tcPr>
            <w:tcW w:w="1337" w:type="dxa"/>
            <w:tcBorders>
              <w:top w:val="nil"/>
              <w:left w:val="nil"/>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万人次</w:t>
            </w:r>
          </w:p>
        </w:tc>
        <w:tc>
          <w:tcPr>
            <w:tcW w:w="1288" w:type="dxa"/>
            <w:tcBorders>
              <w:left w:val="single" w:color="auto" w:sz="4" w:space="0"/>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16.72</w:t>
            </w:r>
          </w:p>
        </w:tc>
        <w:tc>
          <w:tcPr>
            <w:tcW w:w="1212" w:type="dxa"/>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64.29</w:t>
            </w:r>
          </w:p>
        </w:tc>
        <w:tc>
          <w:tcPr>
            <w:tcW w:w="1197" w:type="dxa"/>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-43.21</w:t>
            </w:r>
          </w:p>
        </w:tc>
      </w:tr>
      <w:tr>
        <w:tblPrEx>
          <w:tblLayout w:type="fixed"/>
          <w:tblCellMar>
            <w:top w:w="0" w:type="dxa"/>
            <w:left w:w="108" w:type="dxa"/>
            <w:bottom w:w="0" w:type="dxa"/>
            <w:right w:w="108" w:type="dxa"/>
          </w:tblCellMar>
        </w:tblPrEx>
        <w:trPr>
          <w:trHeight w:val="323" w:hRule="atLeast"/>
        </w:trPr>
        <w:tc>
          <w:tcPr>
            <w:tcW w:w="3579" w:type="dxa"/>
            <w:tcBorders>
              <w:top w:val="nil"/>
              <w:right w:val="single" w:color="auto" w:sz="4" w:space="0"/>
            </w:tcBorders>
            <w:shd w:val="clear" w:color="FFFFFF" w:fill="auto"/>
            <w:vAlign w:val="center"/>
          </w:tcPr>
          <w:p>
            <w:pPr>
              <w:widowControl/>
              <w:jc w:val="left"/>
              <w:rPr>
                <w:rFonts w:hint="eastAsia" w:ascii="仿宋_GB2312" w:hAnsi="仿宋_GB2312" w:eastAsia="仿宋_GB2312" w:cs="仿宋_GB2312"/>
                <w:b/>
                <w:kern w:val="0"/>
                <w:sz w:val="24"/>
                <w:szCs w:val="24"/>
                <w:lang w:eastAsia="zh-CN"/>
              </w:rPr>
            </w:pPr>
            <w:r>
              <w:rPr>
                <w:rFonts w:hint="eastAsia" w:ascii="仿宋_GB2312" w:hAnsi="仿宋_GB2312" w:eastAsia="仿宋_GB2312" w:cs="仿宋_GB2312"/>
                <w:b/>
                <w:kern w:val="0"/>
                <w:sz w:val="24"/>
                <w:szCs w:val="24"/>
                <w:lang w:val="en-US" w:eastAsia="zh-CN"/>
              </w:rPr>
              <w:t>三、传统救济人数</w:t>
            </w:r>
          </w:p>
        </w:tc>
        <w:tc>
          <w:tcPr>
            <w:tcW w:w="1337" w:type="dxa"/>
            <w:tcBorders>
              <w:top w:val="nil"/>
              <w:left w:val="single" w:color="auto" w:sz="4" w:space="0"/>
              <w:right w:val="single" w:color="auto"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kern w:val="0"/>
                <w:sz w:val="24"/>
                <w:szCs w:val="24"/>
              </w:rPr>
            </w:pPr>
            <w:r>
              <w:rPr>
                <w:rFonts w:hint="eastAsia" w:ascii="宋体" w:hAnsi="宋体" w:eastAsia="宋体" w:cs="宋体"/>
                <w:i w:val="0"/>
                <w:color w:val="000000"/>
                <w:kern w:val="0"/>
                <w:sz w:val="22"/>
                <w:szCs w:val="22"/>
                <w:u w:val="none"/>
                <w:lang w:val="en-US" w:eastAsia="zh-CN" w:bidi="ar"/>
              </w:rPr>
              <w:t>万人</w:t>
            </w:r>
          </w:p>
        </w:tc>
        <w:tc>
          <w:tcPr>
            <w:tcW w:w="1288" w:type="dxa"/>
            <w:tcBorders>
              <w:left w:val="single" w:color="auto" w:sz="4" w:space="0"/>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0.78</w:t>
            </w:r>
          </w:p>
        </w:tc>
        <w:tc>
          <w:tcPr>
            <w:tcW w:w="1212" w:type="dxa"/>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-5.56</w:t>
            </w:r>
          </w:p>
        </w:tc>
        <w:tc>
          <w:tcPr>
            <w:tcW w:w="1197" w:type="dxa"/>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-7.75</w:t>
            </w:r>
          </w:p>
        </w:tc>
      </w:tr>
      <w:tr>
        <w:tblPrEx>
          <w:tblLayout w:type="fixed"/>
          <w:tblCellMar>
            <w:top w:w="0" w:type="dxa"/>
            <w:left w:w="108" w:type="dxa"/>
            <w:bottom w:w="0" w:type="dxa"/>
            <w:right w:w="108" w:type="dxa"/>
          </w:tblCellMar>
        </w:tblPrEx>
        <w:trPr>
          <w:trHeight w:val="323" w:hRule="atLeast"/>
        </w:trPr>
        <w:tc>
          <w:tcPr>
            <w:tcW w:w="3579" w:type="dxa"/>
            <w:tcBorders>
              <w:top w:val="nil"/>
              <w:right w:val="single" w:color="auto" w:sz="4" w:space="0"/>
            </w:tcBorders>
            <w:shd w:val="clear" w:color="FFFFFF" w:fill="auto"/>
            <w:vAlign w:val="center"/>
          </w:tcPr>
          <w:p>
            <w:pPr>
              <w:widowControl/>
              <w:jc w:val="both"/>
              <w:rPr>
                <w:rFonts w:hint="eastAsia" w:ascii="仿宋_GB2312" w:hAnsi="仿宋_GB2312" w:eastAsia="仿宋_GB2312" w:cs="仿宋_GB2312"/>
                <w:b/>
                <w:kern w:val="0"/>
                <w:sz w:val="24"/>
                <w:szCs w:val="24"/>
                <w:lang w:val="en-US" w:eastAsia="zh-CN"/>
              </w:rPr>
            </w:pPr>
            <w:r>
              <w:rPr>
                <w:rFonts w:hint="eastAsia" w:ascii="仿宋_GB2312" w:hAnsi="仿宋_GB2312" w:eastAsia="仿宋_GB2312" w:cs="仿宋_GB2312"/>
                <w:b/>
                <w:kern w:val="0"/>
                <w:sz w:val="24"/>
                <w:szCs w:val="24"/>
                <w:lang w:val="en-US" w:eastAsia="zh-CN"/>
              </w:rPr>
              <w:t>四、生活无着人员救助</w:t>
            </w:r>
          </w:p>
        </w:tc>
        <w:tc>
          <w:tcPr>
            <w:tcW w:w="1337" w:type="dxa"/>
            <w:tcBorders>
              <w:top w:val="nil"/>
              <w:left w:val="single" w:color="auto" w:sz="4" w:space="0"/>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万人次</w:t>
            </w:r>
          </w:p>
        </w:tc>
        <w:tc>
          <w:tcPr>
            <w:tcW w:w="1288" w:type="dxa"/>
            <w:tcBorders>
              <w:left w:val="single" w:color="auto" w:sz="4" w:space="0"/>
            </w:tcBorders>
            <w:vAlign w:val="bottom"/>
          </w:tcPr>
          <w:p>
            <w:pPr>
              <w:keepNext w:val="0"/>
              <w:keepLines w:val="0"/>
              <w:widowControl/>
              <w:suppressLineNumbers w:val="0"/>
              <w:jc w:val="center"/>
              <w:textAlignment w:val="bottom"/>
              <w:rPr>
                <w:rFonts w:hint="eastAsia" w:ascii="宋体" w:hAnsi="宋体" w:eastAsia="宋体" w:cs="宋体"/>
                <w:i w:val="0"/>
                <w:color w:val="000000"/>
                <w:kern w:val="0"/>
                <w:sz w:val="22"/>
                <w:szCs w:val="22"/>
                <w:u w:val="none"/>
                <w:lang w:val="en-US" w:eastAsia="zh-CN" w:bidi="ar"/>
              </w:rPr>
            </w:pPr>
            <w:r>
              <w:rPr>
                <w:rFonts w:hint="default" w:ascii="Arial" w:hAnsi="Arial" w:eastAsia="宋体" w:cs="Arial"/>
                <w:i w:val="0"/>
                <w:color w:val="000000"/>
                <w:kern w:val="0"/>
                <w:sz w:val="20"/>
                <w:szCs w:val="20"/>
                <w:u w:val="none"/>
                <w:lang w:val="en-US" w:eastAsia="zh-CN" w:bidi="ar"/>
              </w:rPr>
              <w:t>1.30</w:t>
            </w:r>
          </w:p>
        </w:tc>
        <w:tc>
          <w:tcPr>
            <w:tcW w:w="1212" w:type="dxa"/>
            <w:vAlign w:val="center"/>
          </w:tcPr>
          <w:p>
            <w:pPr>
              <w:keepNext w:val="0"/>
              <w:keepLines w:val="0"/>
              <w:widowControl/>
              <w:suppressLineNumbers w:val="0"/>
              <w:jc w:val="center"/>
              <w:textAlignment w:val="center"/>
              <w:rPr>
                <w:rFonts w:hint="default" w:ascii="Arial" w:hAnsi="Arial" w:eastAsia="宋体" w:cs="Arial"/>
                <w:i w:val="0"/>
                <w:color w:val="000000"/>
                <w:kern w:val="0"/>
                <w:sz w:val="20"/>
                <w:szCs w:val="20"/>
                <w:u w:val="none"/>
                <w:lang w:val="en-US" w:eastAsia="zh-CN" w:bidi="ar"/>
              </w:rPr>
            </w:pPr>
            <w:r>
              <w:rPr>
                <w:rFonts w:hint="default" w:ascii="Arial" w:hAnsi="Arial" w:eastAsia="宋体" w:cs="Arial"/>
                <w:i w:val="0"/>
                <w:color w:val="000000"/>
                <w:kern w:val="0"/>
                <w:sz w:val="20"/>
                <w:szCs w:val="20"/>
                <w:u w:val="none"/>
                <w:lang w:val="en-US" w:eastAsia="zh-CN" w:bidi="ar"/>
              </w:rPr>
              <w:t>25.68</w:t>
            </w:r>
          </w:p>
        </w:tc>
        <w:tc>
          <w:tcPr>
            <w:tcW w:w="1197" w:type="dxa"/>
            <w:vAlign w:val="center"/>
          </w:tcPr>
          <w:p>
            <w:pPr>
              <w:keepNext w:val="0"/>
              <w:keepLines w:val="0"/>
              <w:widowControl/>
              <w:suppressLineNumbers w:val="0"/>
              <w:jc w:val="center"/>
              <w:textAlignment w:val="center"/>
              <w:rPr>
                <w:rFonts w:hint="default" w:ascii="Arial" w:hAnsi="Arial" w:eastAsia="宋体" w:cs="Arial"/>
                <w:i w:val="0"/>
                <w:color w:val="000000"/>
                <w:kern w:val="0"/>
                <w:sz w:val="20"/>
                <w:szCs w:val="20"/>
                <w:u w:val="none"/>
                <w:lang w:val="en-US" w:eastAsia="zh-CN" w:bidi="ar"/>
              </w:rPr>
            </w:pPr>
            <w:r>
              <w:rPr>
                <w:rFonts w:hint="default" w:ascii="Arial" w:hAnsi="Arial" w:eastAsia="宋体" w:cs="Arial"/>
                <w:i w:val="0"/>
                <w:color w:val="000000"/>
                <w:kern w:val="0"/>
                <w:sz w:val="20"/>
                <w:szCs w:val="20"/>
                <w:u w:val="none"/>
                <w:lang w:val="en-US" w:eastAsia="zh-CN" w:bidi="ar"/>
              </w:rPr>
              <w:t>-15.56</w:t>
            </w:r>
          </w:p>
        </w:tc>
      </w:tr>
      <w:tr>
        <w:tblPrEx>
          <w:tblLayout w:type="fixed"/>
          <w:tblCellMar>
            <w:top w:w="0" w:type="dxa"/>
            <w:left w:w="108" w:type="dxa"/>
            <w:bottom w:w="0" w:type="dxa"/>
            <w:right w:w="108" w:type="dxa"/>
          </w:tblCellMar>
        </w:tblPrEx>
        <w:trPr>
          <w:trHeight w:val="323" w:hRule="atLeast"/>
        </w:trPr>
        <w:tc>
          <w:tcPr>
            <w:tcW w:w="3579" w:type="dxa"/>
            <w:tcBorders>
              <w:top w:val="nil"/>
              <w:bottom w:val="nil"/>
              <w:right w:val="single" w:color="auto" w:sz="4" w:space="0"/>
            </w:tcBorders>
            <w:shd w:val="clear" w:color="FFFFFF" w:fill="auto"/>
            <w:vAlign w:val="center"/>
          </w:tcPr>
          <w:p>
            <w:pPr>
              <w:widowControl/>
              <w:jc w:val="left"/>
              <w:rPr>
                <w:rFonts w:hint="eastAsia" w:ascii="仿宋_GB2312" w:hAnsi="仿宋_GB2312" w:eastAsia="仿宋_GB2312" w:cs="仿宋_GB2312"/>
                <w:b/>
                <w:kern w:val="0"/>
                <w:sz w:val="24"/>
                <w:szCs w:val="24"/>
                <w:lang w:val="en-US" w:eastAsia="zh-CN"/>
              </w:rPr>
            </w:pPr>
            <w:r>
              <w:rPr>
                <w:rFonts w:hint="eastAsia" w:ascii="仿宋_GB2312" w:hAnsi="仿宋_GB2312" w:eastAsia="仿宋_GB2312" w:cs="仿宋_GB2312"/>
                <w:b/>
                <w:kern w:val="0"/>
                <w:sz w:val="24"/>
                <w:szCs w:val="24"/>
                <w:lang w:val="en-US" w:eastAsia="zh-CN"/>
              </w:rPr>
              <w:t>五、城市特困人员救助</w:t>
            </w:r>
          </w:p>
        </w:tc>
        <w:tc>
          <w:tcPr>
            <w:tcW w:w="1337" w:type="dxa"/>
            <w:tcBorders>
              <w:top w:val="nil"/>
              <w:left w:val="single" w:color="auto" w:sz="4" w:space="0"/>
              <w:bottom w:val="nil"/>
              <w:right w:val="single" w:color="auto"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万人</w:t>
            </w:r>
          </w:p>
        </w:tc>
        <w:tc>
          <w:tcPr>
            <w:tcW w:w="1288" w:type="dxa"/>
            <w:tcBorders>
              <w:top w:val="nil"/>
              <w:left w:val="single" w:color="auto" w:sz="4" w:space="0"/>
              <w:bottom w:val="nil"/>
            </w:tcBorders>
            <w:vAlign w:val="bottom"/>
          </w:tcPr>
          <w:p>
            <w:pPr>
              <w:keepNext w:val="0"/>
              <w:keepLines w:val="0"/>
              <w:widowControl/>
              <w:suppressLineNumbers w:val="0"/>
              <w:jc w:val="center"/>
              <w:textAlignment w:val="bottom"/>
              <w:rPr>
                <w:rFonts w:hint="eastAsia" w:ascii="宋体" w:hAnsi="宋体" w:eastAsia="宋体" w:cs="宋体"/>
                <w:i w:val="0"/>
                <w:color w:val="000000"/>
                <w:kern w:val="0"/>
                <w:sz w:val="22"/>
                <w:szCs w:val="22"/>
                <w:u w:val="none"/>
                <w:lang w:val="en-US" w:eastAsia="zh-CN" w:bidi="ar"/>
              </w:rPr>
            </w:pPr>
            <w:r>
              <w:rPr>
                <w:rFonts w:hint="default" w:ascii="Arial" w:hAnsi="Arial" w:eastAsia="宋体" w:cs="Arial"/>
                <w:i w:val="0"/>
                <w:color w:val="000000"/>
                <w:kern w:val="0"/>
                <w:sz w:val="20"/>
                <w:szCs w:val="20"/>
                <w:u w:val="none"/>
                <w:lang w:val="en-US" w:eastAsia="zh-CN" w:bidi="ar"/>
              </w:rPr>
              <w:t>0.76</w:t>
            </w:r>
          </w:p>
        </w:tc>
        <w:tc>
          <w:tcPr>
            <w:tcW w:w="1212" w:type="dxa"/>
            <w:tcBorders>
              <w:top w:val="nil"/>
              <w:bottom w:val="nil"/>
            </w:tcBorders>
            <w:vAlign w:val="center"/>
          </w:tcPr>
          <w:p>
            <w:pPr>
              <w:keepNext w:val="0"/>
              <w:keepLines w:val="0"/>
              <w:widowControl/>
              <w:suppressLineNumbers w:val="0"/>
              <w:jc w:val="center"/>
              <w:textAlignment w:val="center"/>
              <w:rPr>
                <w:rFonts w:hint="default" w:ascii="Arial" w:hAnsi="Arial" w:eastAsia="宋体" w:cs="Arial"/>
                <w:i w:val="0"/>
                <w:color w:val="000000"/>
                <w:kern w:val="0"/>
                <w:sz w:val="20"/>
                <w:szCs w:val="20"/>
                <w:u w:val="none"/>
                <w:lang w:val="en-US" w:eastAsia="zh-CN" w:bidi="ar"/>
              </w:rPr>
            </w:pPr>
            <w:r>
              <w:rPr>
                <w:rFonts w:hint="default" w:ascii="Arial" w:hAnsi="Arial" w:eastAsia="宋体" w:cs="Arial"/>
                <w:i w:val="0"/>
                <w:color w:val="000000"/>
                <w:kern w:val="0"/>
                <w:sz w:val="20"/>
                <w:szCs w:val="20"/>
                <w:u w:val="none"/>
                <w:lang w:val="en-US" w:eastAsia="zh-CN" w:bidi="ar"/>
              </w:rPr>
              <w:t>0.34</w:t>
            </w:r>
          </w:p>
        </w:tc>
        <w:tc>
          <w:tcPr>
            <w:tcW w:w="1197" w:type="dxa"/>
            <w:tcBorders>
              <w:top w:val="nil"/>
              <w:bottom w:val="nil"/>
            </w:tcBorders>
            <w:vAlign w:val="center"/>
          </w:tcPr>
          <w:p>
            <w:pPr>
              <w:keepNext w:val="0"/>
              <w:keepLines w:val="0"/>
              <w:widowControl/>
              <w:suppressLineNumbers w:val="0"/>
              <w:jc w:val="center"/>
              <w:textAlignment w:val="center"/>
              <w:rPr>
                <w:rFonts w:hint="default" w:ascii="Arial" w:hAnsi="Arial" w:eastAsia="宋体" w:cs="Arial"/>
                <w:i w:val="0"/>
                <w:color w:val="000000"/>
                <w:kern w:val="0"/>
                <w:sz w:val="20"/>
                <w:szCs w:val="20"/>
                <w:u w:val="none"/>
                <w:lang w:val="en-US" w:eastAsia="zh-CN" w:bidi="ar"/>
              </w:rPr>
            </w:pPr>
            <w:r>
              <w:rPr>
                <w:rFonts w:hint="default" w:ascii="Arial" w:hAnsi="Arial" w:eastAsia="宋体" w:cs="Arial"/>
                <w:i w:val="0"/>
                <w:color w:val="000000"/>
                <w:kern w:val="0"/>
                <w:sz w:val="20"/>
                <w:szCs w:val="20"/>
                <w:u w:val="none"/>
                <w:lang w:val="en-US" w:eastAsia="zh-CN" w:bidi="ar"/>
              </w:rPr>
              <w:t>11.42</w:t>
            </w:r>
          </w:p>
        </w:tc>
      </w:tr>
      <w:tr>
        <w:tblPrEx>
          <w:tblLayout w:type="fixed"/>
          <w:tblCellMar>
            <w:top w:w="0" w:type="dxa"/>
            <w:left w:w="108" w:type="dxa"/>
            <w:bottom w:w="0" w:type="dxa"/>
            <w:right w:w="108" w:type="dxa"/>
          </w:tblCellMar>
        </w:tblPrEx>
        <w:trPr>
          <w:trHeight w:val="323" w:hRule="atLeast"/>
        </w:trPr>
        <w:tc>
          <w:tcPr>
            <w:tcW w:w="3579" w:type="dxa"/>
            <w:tcBorders>
              <w:top w:val="nil"/>
              <w:bottom w:val="nil"/>
              <w:right w:val="single" w:color="auto" w:sz="4" w:space="0"/>
            </w:tcBorders>
            <w:shd w:val="clear" w:color="FFFFFF" w:fill="auto"/>
            <w:vAlign w:val="center"/>
          </w:tcPr>
          <w:p>
            <w:pPr>
              <w:widowControl/>
              <w:jc w:val="left"/>
              <w:rPr>
                <w:rFonts w:hint="eastAsia" w:ascii="仿宋_GB2312" w:hAnsi="仿宋_GB2312" w:eastAsia="仿宋_GB2312" w:cs="仿宋_GB2312"/>
                <w:b/>
                <w:kern w:val="0"/>
                <w:sz w:val="24"/>
                <w:szCs w:val="24"/>
                <w:lang w:eastAsia="zh-CN"/>
              </w:rPr>
            </w:pPr>
            <w:r>
              <w:rPr>
                <w:rFonts w:hint="eastAsia" w:ascii="仿宋_GB2312" w:hAnsi="仿宋_GB2312" w:eastAsia="仿宋_GB2312" w:cs="仿宋_GB2312"/>
                <w:b/>
                <w:kern w:val="0"/>
                <w:sz w:val="24"/>
                <w:szCs w:val="24"/>
                <w:lang w:val="en-US" w:eastAsia="zh-CN"/>
              </w:rPr>
              <w:t>六、农村特困人员救助</w:t>
            </w:r>
          </w:p>
        </w:tc>
        <w:tc>
          <w:tcPr>
            <w:tcW w:w="1337" w:type="dxa"/>
            <w:tcBorders>
              <w:top w:val="nil"/>
              <w:left w:val="single" w:color="auto" w:sz="4" w:space="0"/>
              <w:bottom w:val="nil"/>
              <w:right w:val="single" w:color="auto" w:sz="4" w:space="0"/>
            </w:tcBorders>
            <w:vAlign w:val="center"/>
          </w:tcPr>
          <w:p>
            <w:pPr>
              <w:keepNext w:val="0"/>
              <w:keepLines w:val="0"/>
              <w:widowControl/>
              <w:suppressLineNumbers w:val="0"/>
              <w:jc w:val="center"/>
              <w:textAlignment w:val="center"/>
              <w:rPr>
                <w:rFonts w:hint="eastAsia" w:ascii="仿宋_GB2312" w:hAnsi="仿宋_GB2312" w:eastAsia="仿宋_GB2312" w:cs="仿宋_GB2312"/>
                <w:kern w:val="0"/>
                <w:sz w:val="24"/>
                <w:szCs w:val="24"/>
                <w:lang w:eastAsia="zh-CN"/>
              </w:rPr>
            </w:pPr>
            <w:r>
              <w:rPr>
                <w:rFonts w:hint="eastAsia" w:ascii="宋体" w:hAnsi="宋体" w:eastAsia="宋体" w:cs="宋体"/>
                <w:i w:val="0"/>
                <w:color w:val="000000"/>
                <w:kern w:val="0"/>
                <w:sz w:val="22"/>
                <w:szCs w:val="22"/>
                <w:u w:val="none"/>
                <w:lang w:val="en-US" w:eastAsia="zh-CN" w:bidi="ar"/>
              </w:rPr>
              <w:t>万人</w:t>
            </w:r>
          </w:p>
        </w:tc>
        <w:tc>
          <w:tcPr>
            <w:tcW w:w="1288" w:type="dxa"/>
            <w:tcBorders>
              <w:top w:val="nil"/>
              <w:left w:val="single" w:color="auto" w:sz="4" w:space="0"/>
              <w:bottom w:val="nil"/>
            </w:tcBorders>
            <w:vAlign w:val="bottom"/>
          </w:tcPr>
          <w:p>
            <w:pPr>
              <w:keepNext w:val="0"/>
              <w:keepLines w:val="0"/>
              <w:widowControl/>
              <w:suppressLineNumbers w:val="0"/>
              <w:jc w:val="center"/>
              <w:textAlignment w:val="bottom"/>
              <w:rPr>
                <w:rFonts w:hint="eastAsia"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8.73</w:t>
            </w:r>
          </w:p>
        </w:tc>
        <w:tc>
          <w:tcPr>
            <w:tcW w:w="1212" w:type="dxa"/>
            <w:tcBorders>
              <w:top w:val="nil"/>
              <w:bottom w:val="nil"/>
            </w:tcBorders>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-1.10</w:t>
            </w:r>
          </w:p>
        </w:tc>
        <w:tc>
          <w:tcPr>
            <w:tcW w:w="1197" w:type="dxa"/>
            <w:tcBorders>
              <w:top w:val="nil"/>
              <w:bottom w:val="nil"/>
            </w:tcBorders>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-1.05</w:t>
            </w:r>
          </w:p>
        </w:tc>
      </w:tr>
    </w:tbl>
    <w:p>
      <w:pPr>
        <w:ind w:right="359" w:rightChars="171"/>
        <w:rPr>
          <w:rFonts w:hint="eastAsia" w:ascii="仿宋_GB2312" w:eastAsia="仿宋_GB2312"/>
          <w:sz w:val="24"/>
        </w:rPr>
      </w:pPr>
    </w:p>
    <w:p>
      <w:pPr>
        <w:ind w:left="-359" w:leftChars="-171" w:right="359" w:rightChars="171" w:firstLine="480" w:firstLineChars="200"/>
        <w:rPr>
          <w:rFonts w:ascii="仿宋_GB2312" w:eastAsia="仿宋_GB2312"/>
          <w:sz w:val="24"/>
        </w:rPr>
      </w:pPr>
      <w:r>
        <w:rPr>
          <w:rFonts w:hint="eastAsia" w:ascii="仿宋_GB2312" w:eastAsia="仿宋_GB2312"/>
          <w:sz w:val="24"/>
          <w:lang w:eastAsia="zh-CN"/>
        </w:rPr>
        <w:t>截至2021年</w:t>
      </w:r>
      <w:r>
        <w:rPr>
          <w:rFonts w:hint="eastAsia" w:ascii="仿宋_GB2312" w:eastAsia="仿宋_GB2312"/>
          <w:sz w:val="24"/>
          <w:lang w:val="en-US" w:eastAsia="zh-CN"/>
        </w:rPr>
        <w:t>9月底</w:t>
      </w:r>
      <w:r>
        <w:rPr>
          <w:rFonts w:hint="eastAsia" w:ascii="仿宋_GB2312" w:eastAsia="仿宋_GB2312"/>
          <w:sz w:val="24"/>
          <w:lang w:eastAsia="zh-CN"/>
        </w:rPr>
        <w:t>，</w:t>
      </w:r>
      <w:r>
        <w:rPr>
          <w:rFonts w:hint="eastAsia" w:ascii="仿宋_GB2312" w:eastAsia="仿宋_GB2312"/>
          <w:sz w:val="24"/>
        </w:rPr>
        <w:t>城市</w:t>
      </w:r>
      <w:r>
        <w:rPr>
          <w:rFonts w:ascii="仿宋_GB2312" w:eastAsia="仿宋_GB2312"/>
          <w:sz w:val="24"/>
        </w:rPr>
        <w:t>最低生活保障人数</w:t>
      </w:r>
      <w:r>
        <w:rPr>
          <w:rFonts w:hint="eastAsia" w:ascii="仿宋_GB2312" w:eastAsia="仿宋_GB2312"/>
          <w:sz w:val="24"/>
          <w:lang w:val="en-US" w:eastAsia="zh-CN"/>
        </w:rPr>
        <w:t>60.94</w:t>
      </w:r>
      <w:r>
        <w:rPr>
          <w:rFonts w:hint="eastAsia" w:ascii="仿宋_GB2312" w:eastAsia="仿宋_GB2312"/>
          <w:sz w:val="24"/>
        </w:rPr>
        <w:t>万人，比</w:t>
      </w:r>
      <w:r>
        <w:rPr>
          <w:rFonts w:hint="eastAsia" w:ascii="仿宋_GB2312" w:eastAsia="仿宋_GB2312"/>
          <w:sz w:val="24"/>
          <w:lang w:eastAsia="zh-CN"/>
        </w:rPr>
        <w:t>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增长</w:t>
      </w:r>
      <w:r>
        <w:rPr>
          <w:rFonts w:hint="eastAsia" w:ascii="仿宋_GB2312" w:eastAsia="仿宋_GB2312"/>
          <w:sz w:val="24"/>
          <w:lang w:val="en-US" w:eastAsia="zh-CN"/>
        </w:rPr>
        <w:t>0.05</w:t>
      </w:r>
      <w:r>
        <w:rPr>
          <w:rFonts w:ascii="仿宋_GB2312" w:eastAsia="仿宋_GB2312"/>
          <w:sz w:val="24"/>
        </w:rPr>
        <w:t>%</w:t>
      </w:r>
      <w:r>
        <w:rPr>
          <w:rFonts w:hint="eastAsia" w:ascii="仿宋_GB2312" w:eastAsia="仿宋_GB2312"/>
          <w:sz w:val="24"/>
        </w:rPr>
        <w:t>，比上年同期同比</w:t>
      </w:r>
      <w:r>
        <w:rPr>
          <w:rFonts w:hint="eastAsia" w:ascii="仿宋_GB2312" w:eastAsia="仿宋_GB2312"/>
          <w:sz w:val="24"/>
          <w:lang w:eastAsia="zh-CN"/>
        </w:rPr>
        <w:t>下降</w:t>
      </w:r>
      <w:r>
        <w:rPr>
          <w:rFonts w:hint="eastAsia" w:ascii="仿宋_GB2312" w:eastAsia="仿宋_GB2312"/>
          <w:sz w:val="24"/>
          <w:lang w:val="en-US" w:eastAsia="zh-CN"/>
        </w:rPr>
        <w:t>0.88</w:t>
      </w:r>
      <w:r>
        <w:rPr>
          <w:rFonts w:hint="eastAsia" w:ascii="仿宋_GB2312" w:eastAsia="仿宋_GB2312"/>
          <w:sz w:val="24"/>
        </w:rPr>
        <w:t>%；城市</w:t>
      </w:r>
      <w:r>
        <w:rPr>
          <w:rFonts w:ascii="仿宋_GB2312" w:eastAsia="仿宋_GB2312"/>
          <w:sz w:val="24"/>
        </w:rPr>
        <w:t>最低生活保障</w:t>
      </w:r>
      <w:r>
        <w:rPr>
          <w:rFonts w:hint="eastAsia" w:ascii="仿宋_GB2312" w:eastAsia="仿宋_GB2312"/>
          <w:sz w:val="24"/>
        </w:rPr>
        <w:t>户数</w:t>
      </w:r>
      <w:r>
        <w:rPr>
          <w:rFonts w:hint="eastAsia" w:ascii="仿宋_GB2312" w:eastAsia="仿宋_GB2312"/>
          <w:sz w:val="24"/>
          <w:lang w:val="en-US" w:eastAsia="zh-CN"/>
        </w:rPr>
        <w:t>24.42万</w:t>
      </w:r>
      <w:r>
        <w:rPr>
          <w:rFonts w:hint="eastAsia" w:ascii="仿宋_GB2312" w:eastAsia="仿宋_GB2312"/>
          <w:sz w:val="24"/>
        </w:rPr>
        <w:t>户，比</w:t>
      </w:r>
      <w:r>
        <w:rPr>
          <w:rFonts w:hint="eastAsia" w:ascii="仿宋_GB2312" w:eastAsia="仿宋_GB2312"/>
          <w:sz w:val="24"/>
          <w:lang w:eastAsia="zh-CN"/>
        </w:rPr>
        <w:t>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下降</w:t>
      </w:r>
      <w:r>
        <w:rPr>
          <w:rFonts w:hint="eastAsia" w:ascii="仿宋_GB2312" w:eastAsia="仿宋_GB2312"/>
          <w:sz w:val="24"/>
          <w:lang w:val="en-US" w:eastAsia="zh-CN"/>
        </w:rPr>
        <w:t>0.06</w:t>
      </w:r>
      <w:r>
        <w:rPr>
          <w:rFonts w:hint="eastAsia" w:ascii="仿宋_GB2312" w:eastAsia="仿宋_GB2312"/>
          <w:sz w:val="24"/>
        </w:rPr>
        <w:t>%，比上年同期同比</w:t>
      </w:r>
      <w:r>
        <w:rPr>
          <w:rFonts w:hint="eastAsia" w:ascii="仿宋_GB2312" w:eastAsia="仿宋_GB2312"/>
          <w:sz w:val="24"/>
          <w:lang w:eastAsia="zh-CN"/>
        </w:rPr>
        <w:t>下降</w:t>
      </w:r>
      <w:r>
        <w:rPr>
          <w:rFonts w:hint="eastAsia" w:ascii="仿宋_GB2312" w:eastAsia="仿宋_GB2312"/>
          <w:sz w:val="24"/>
          <w:lang w:val="en-US" w:eastAsia="zh-CN"/>
        </w:rPr>
        <w:t>1.27</w:t>
      </w:r>
      <w:r>
        <w:rPr>
          <w:rFonts w:hint="eastAsia" w:ascii="仿宋_GB2312" w:eastAsia="仿宋_GB2312"/>
          <w:sz w:val="24"/>
        </w:rPr>
        <w:t>%。</w:t>
      </w:r>
      <w:r>
        <w:rPr>
          <w:rFonts w:ascii="仿宋_GB2312" w:eastAsia="仿宋_GB2312"/>
          <w:sz w:val="24"/>
        </w:rPr>
        <w:t xml:space="preserve"> </w:t>
      </w:r>
    </w:p>
    <w:p>
      <w:pPr>
        <w:ind w:left="-359" w:leftChars="-171" w:right="359" w:rightChars="171" w:firstLine="480" w:firstLineChars="200"/>
        <w:rPr>
          <w:rFonts w:hint="eastAsia" w:ascii="仿宋_GB2312" w:eastAsia="仿宋_GB2312"/>
          <w:sz w:val="24"/>
        </w:rPr>
      </w:pPr>
      <w:r>
        <w:rPr>
          <w:rFonts w:hint="eastAsia" w:ascii="仿宋_GB2312" w:eastAsia="仿宋_GB2312"/>
          <w:sz w:val="24"/>
        </w:rPr>
        <w:t>农村</w:t>
      </w:r>
      <w:r>
        <w:rPr>
          <w:rFonts w:ascii="仿宋_GB2312" w:eastAsia="仿宋_GB2312"/>
          <w:sz w:val="24"/>
        </w:rPr>
        <w:t>最低生活保障人数</w:t>
      </w:r>
      <w:r>
        <w:rPr>
          <w:rFonts w:hint="eastAsia" w:ascii="仿宋_GB2312" w:eastAsia="仿宋_GB2312"/>
          <w:sz w:val="24"/>
          <w:lang w:val="en-US" w:eastAsia="zh-CN"/>
        </w:rPr>
        <w:t>189.46</w:t>
      </w:r>
      <w:r>
        <w:rPr>
          <w:rFonts w:hint="eastAsia" w:ascii="仿宋_GB2312" w:eastAsia="仿宋_GB2312"/>
          <w:sz w:val="24"/>
        </w:rPr>
        <w:t>万人，比</w:t>
      </w:r>
      <w:r>
        <w:rPr>
          <w:rFonts w:hint="eastAsia" w:ascii="仿宋_GB2312" w:eastAsia="仿宋_GB2312"/>
          <w:sz w:val="24"/>
          <w:lang w:eastAsia="zh-CN"/>
        </w:rPr>
        <w:t>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下降</w:t>
      </w:r>
      <w:r>
        <w:rPr>
          <w:rFonts w:hint="eastAsia" w:ascii="仿宋_GB2312" w:eastAsia="仿宋_GB2312"/>
          <w:sz w:val="24"/>
          <w:lang w:val="en-US" w:eastAsia="zh-CN"/>
        </w:rPr>
        <w:t>0.71</w:t>
      </w:r>
      <w:r>
        <w:rPr>
          <w:rFonts w:ascii="仿宋_GB2312" w:eastAsia="仿宋_GB2312"/>
          <w:sz w:val="24"/>
        </w:rPr>
        <w:t>%</w:t>
      </w:r>
      <w:r>
        <w:rPr>
          <w:rFonts w:hint="eastAsia" w:ascii="仿宋_GB2312" w:eastAsia="仿宋_GB2312"/>
          <w:sz w:val="24"/>
        </w:rPr>
        <w:t>，</w:t>
      </w:r>
      <w:r>
        <w:rPr>
          <w:rFonts w:ascii="仿宋_GB2312" w:eastAsia="仿宋_GB2312"/>
          <w:sz w:val="24"/>
        </w:rPr>
        <w:t>比上年同期同比下降</w:t>
      </w:r>
      <w:r>
        <w:rPr>
          <w:rFonts w:hint="eastAsia" w:ascii="仿宋_GB2312" w:eastAsia="仿宋_GB2312"/>
          <w:sz w:val="24"/>
          <w:lang w:val="en-US" w:eastAsia="zh-CN"/>
        </w:rPr>
        <w:t>5.97</w:t>
      </w:r>
      <w:r>
        <w:rPr>
          <w:rFonts w:hint="eastAsia" w:ascii="仿宋_GB2312" w:eastAsia="仿宋_GB2312"/>
          <w:sz w:val="24"/>
        </w:rPr>
        <w:t>%；农村</w:t>
      </w:r>
      <w:r>
        <w:rPr>
          <w:rFonts w:ascii="仿宋_GB2312" w:eastAsia="仿宋_GB2312"/>
          <w:sz w:val="24"/>
        </w:rPr>
        <w:t>最低生活保障</w:t>
      </w:r>
      <w:r>
        <w:rPr>
          <w:rFonts w:hint="eastAsia" w:ascii="仿宋_GB2312" w:eastAsia="仿宋_GB2312"/>
          <w:sz w:val="24"/>
        </w:rPr>
        <w:t>户数</w:t>
      </w:r>
      <w:r>
        <w:rPr>
          <w:rFonts w:hint="eastAsia" w:ascii="仿宋_GB2312" w:eastAsia="仿宋_GB2312"/>
          <w:sz w:val="24"/>
          <w:lang w:val="en-US" w:eastAsia="zh-CN"/>
        </w:rPr>
        <w:t>80.17</w:t>
      </w:r>
      <w:r>
        <w:rPr>
          <w:rFonts w:hint="eastAsia" w:ascii="仿宋_GB2312" w:eastAsia="仿宋_GB2312"/>
          <w:sz w:val="24"/>
        </w:rPr>
        <w:t>万户，</w:t>
      </w:r>
      <w:r>
        <w:rPr>
          <w:rFonts w:hint="eastAsia" w:ascii="仿宋_GB2312" w:eastAsia="仿宋_GB2312"/>
          <w:sz w:val="24"/>
          <w:lang w:eastAsia="zh-CN"/>
        </w:rPr>
        <w:t>比2021年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下降</w:t>
      </w:r>
      <w:r>
        <w:rPr>
          <w:rFonts w:hint="eastAsia" w:ascii="仿宋_GB2312" w:eastAsia="仿宋_GB2312"/>
          <w:sz w:val="24"/>
          <w:lang w:val="en-US" w:eastAsia="zh-CN"/>
        </w:rPr>
        <w:t>0.6%</w:t>
      </w:r>
      <w:r>
        <w:rPr>
          <w:rFonts w:hint="eastAsia" w:ascii="仿宋_GB2312" w:eastAsia="仿宋_GB2312"/>
          <w:sz w:val="24"/>
        </w:rPr>
        <w:t>，</w:t>
      </w:r>
      <w:r>
        <w:rPr>
          <w:rFonts w:ascii="仿宋_GB2312" w:eastAsia="仿宋_GB2312"/>
          <w:sz w:val="24"/>
        </w:rPr>
        <w:t>比上年同期同比下降</w:t>
      </w:r>
      <w:r>
        <w:rPr>
          <w:rFonts w:hint="eastAsia" w:ascii="仿宋_GB2312" w:eastAsia="仿宋_GB2312"/>
          <w:sz w:val="24"/>
          <w:lang w:val="en-US" w:eastAsia="zh-CN"/>
        </w:rPr>
        <w:t>4.32</w:t>
      </w:r>
      <w:r>
        <w:rPr>
          <w:rFonts w:hint="eastAsia" w:ascii="仿宋_GB2312" w:eastAsia="仿宋_GB2312"/>
          <w:sz w:val="24"/>
        </w:rPr>
        <w:t>%。</w:t>
      </w:r>
    </w:p>
    <w:p>
      <w:pPr>
        <w:ind w:left="-359" w:leftChars="-171" w:right="359" w:rightChars="171" w:firstLine="480" w:firstLineChars="200"/>
        <w:rPr>
          <w:rFonts w:hint="eastAsia" w:ascii="仿宋_GB2312" w:eastAsia="仿宋_GB2312"/>
          <w:sz w:val="24"/>
          <w:lang w:eastAsia="zh-CN"/>
        </w:rPr>
      </w:pPr>
      <w:r>
        <w:rPr>
          <w:rFonts w:hint="eastAsia" w:ascii="仿宋_GB2312" w:eastAsia="仿宋_GB2312"/>
          <w:sz w:val="24"/>
        </w:rPr>
        <w:t>临时救助</w:t>
      </w:r>
      <w:r>
        <w:rPr>
          <w:rFonts w:hint="eastAsia" w:ascii="仿宋_GB2312" w:eastAsia="仿宋_GB2312"/>
          <w:sz w:val="24"/>
          <w:lang w:val="en-US" w:eastAsia="zh-CN"/>
        </w:rPr>
        <w:t>16.72</w:t>
      </w:r>
      <w:r>
        <w:rPr>
          <w:rFonts w:hint="eastAsia" w:ascii="仿宋_GB2312" w:eastAsia="仿宋_GB2312"/>
          <w:sz w:val="24"/>
        </w:rPr>
        <w:t>万人次。</w:t>
      </w:r>
      <w:r>
        <w:rPr>
          <w:rFonts w:hint="eastAsia" w:ascii="仿宋_GB2312" w:eastAsia="仿宋_GB2312"/>
          <w:sz w:val="24"/>
          <w:lang w:eastAsia="zh-CN"/>
        </w:rPr>
        <w:t>传统救济</w:t>
      </w:r>
      <w:r>
        <w:rPr>
          <w:rFonts w:hint="eastAsia" w:ascii="仿宋_GB2312" w:eastAsia="仿宋_GB2312"/>
          <w:sz w:val="24"/>
          <w:lang w:val="en-US" w:eastAsia="zh-CN"/>
        </w:rPr>
        <w:t>0.78万人。</w:t>
      </w:r>
    </w:p>
    <w:p>
      <w:pPr>
        <w:ind w:left="-359" w:leftChars="-171" w:right="359" w:rightChars="171" w:firstLine="480" w:firstLineChars="200"/>
        <w:rPr>
          <w:rFonts w:hint="eastAsia" w:ascii="仿宋_GB2312" w:eastAsia="仿宋_GB2312"/>
          <w:sz w:val="24"/>
        </w:rPr>
      </w:pPr>
      <w:r>
        <w:rPr>
          <w:rFonts w:hint="eastAsia" w:ascii="仿宋_GB2312" w:eastAsia="仿宋_GB2312"/>
          <w:sz w:val="24"/>
        </w:rPr>
        <w:t>生活无着人员救助</w:t>
      </w:r>
      <w:r>
        <w:rPr>
          <w:rFonts w:hint="eastAsia" w:ascii="仿宋_GB2312" w:eastAsia="仿宋_GB2312"/>
          <w:sz w:val="24"/>
          <w:lang w:val="en-US" w:eastAsia="zh-CN"/>
        </w:rPr>
        <w:t>1.3</w:t>
      </w:r>
      <w:r>
        <w:rPr>
          <w:rFonts w:hint="eastAsia" w:ascii="仿宋_GB2312" w:eastAsia="仿宋_GB2312"/>
          <w:sz w:val="24"/>
        </w:rPr>
        <w:t>万人次，比</w:t>
      </w:r>
      <w:r>
        <w:rPr>
          <w:rFonts w:hint="eastAsia" w:ascii="仿宋_GB2312" w:eastAsia="仿宋_GB2312"/>
          <w:sz w:val="24"/>
          <w:lang w:eastAsia="zh-CN"/>
        </w:rPr>
        <w:t>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增长</w:t>
      </w:r>
      <w:r>
        <w:rPr>
          <w:rFonts w:hint="eastAsia" w:ascii="仿宋_GB2312" w:eastAsia="仿宋_GB2312"/>
          <w:sz w:val="24"/>
          <w:lang w:val="en-US" w:eastAsia="zh-CN"/>
        </w:rPr>
        <w:t>25.68</w:t>
      </w:r>
      <w:r>
        <w:rPr>
          <w:rFonts w:hint="eastAsia" w:ascii="仿宋_GB2312" w:eastAsia="仿宋_GB2312"/>
          <w:sz w:val="24"/>
        </w:rPr>
        <w:t>%，</w:t>
      </w:r>
      <w:r>
        <w:rPr>
          <w:rFonts w:ascii="仿宋_GB2312" w:eastAsia="仿宋_GB2312"/>
          <w:sz w:val="24"/>
        </w:rPr>
        <w:t>比上年同期同比</w:t>
      </w:r>
      <w:r>
        <w:rPr>
          <w:rFonts w:hint="eastAsia" w:ascii="仿宋_GB2312" w:eastAsia="仿宋_GB2312"/>
          <w:sz w:val="24"/>
          <w:lang w:eastAsia="zh-CN"/>
        </w:rPr>
        <w:t>下降</w:t>
      </w:r>
      <w:r>
        <w:rPr>
          <w:rFonts w:hint="eastAsia" w:ascii="仿宋_GB2312" w:eastAsia="仿宋_GB2312"/>
          <w:sz w:val="24"/>
          <w:lang w:val="en-US" w:eastAsia="zh-CN"/>
        </w:rPr>
        <w:t>15.56</w:t>
      </w:r>
      <w:r>
        <w:rPr>
          <w:rFonts w:hint="eastAsia" w:ascii="仿宋_GB2312" w:eastAsia="仿宋_GB2312"/>
          <w:sz w:val="24"/>
        </w:rPr>
        <w:t>%。</w:t>
      </w:r>
    </w:p>
    <w:p>
      <w:pPr>
        <w:ind w:left="-359" w:leftChars="-171" w:right="359" w:rightChars="171" w:firstLine="480" w:firstLineChars="200"/>
        <w:rPr>
          <w:rFonts w:hint="eastAsia" w:ascii="仿宋_GB2312" w:eastAsia="仿宋_GB2312"/>
          <w:sz w:val="24"/>
          <w:lang w:eastAsia="zh-CN"/>
        </w:rPr>
      </w:pPr>
      <w:r>
        <w:rPr>
          <w:rFonts w:hint="eastAsia" w:ascii="仿宋_GB2312" w:eastAsia="仿宋_GB2312"/>
          <w:sz w:val="24"/>
          <w:lang w:eastAsia="zh-CN"/>
        </w:rPr>
        <w:t>城市特困人员救助</w:t>
      </w:r>
      <w:r>
        <w:rPr>
          <w:rFonts w:hint="eastAsia" w:ascii="仿宋_GB2312" w:eastAsia="仿宋_GB2312"/>
          <w:sz w:val="24"/>
          <w:lang w:val="en-US" w:eastAsia="zh-CN"/>
        </w:rPr>
        <w:t>0.76万人，</w:t>
      </w:r>
      <w:r>
        <w:rPr>
          <w:rFonts w:hint="eastAsia" w:ascii="仿宋_GB2312" w:eastAsia="仿宋_GB2312"/>
          <w:sz w:val="24"/>
        </w:rPr>
        <w:t>比</w:t>
      </w:r>
      <w:r>
        <w:rPr>
          <w:rFonts w:hint="eastAsia" w:ascii="仿宋_GB2312" w:eastAsia="仿宋_GB2312"/>
          <w:sz w:val="24"/>
          <w:lang w:eastAsia="zh-CN"/>
        </w:rPr>
        <w:t>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增长</w:t>
      </w:r>
      <w:r>
        <w:rPr>
          <w:rFonts w:hint="eastAsia" w:ascii="仿宋_GB2312" w:eastAsia="仿宋_GB2312"/>
          <w:sz w:val="24"/>
          <w:lang w:val="en-US" w:eastAsia="zh-CN"/>
        </w:rPr>
        <w:t>0.34</w:t>
      </w:r>
      <w:r>
        <w:rPr>
          <w:rFonts w:hint="eastAsia" w:ascii="仿宋_GB2312" w:eastAsia="仿宋_GB2312"/>
          <w:sz w:val="24"/>
        </w:rPr>
        <w:t>%，</w:t>
      </w:r>
      <w:r>
        <w:rPr>
          <w:rFonts w:hint="eastAsia" w:ascii="仿宋_GB2312" w:eastAsia="仿宋_GB2312"/>
          <w:sz w:val="24"/>
          <w:lang w:eastAsia="zh-CN"/>
        </w:rPr>
        <w:t>比</w:t>
      </w:r>
      <w:r>
        <w:rPr>
          <w:rFonts w:ascii="仿宋_GB2312" w:eastAsia="仿宋_GB2312"/>
          <w:sz w:val="24"/>
        </w:rPr>
        <w:t>上年同期同比</w:t>
      </w:r>
      <w:r>
        <w:rPr>
          <w:rFonts w:hint="eastAsia" w:ascii="仿宋_GB2312" w:eastAsia="仿宋_GB2312"/>
          <w:sz w:val="24"/>
          <w:lang w:eastAsia="zh-CN"/>
        </w:rPr>
        <w:t>增长</w:t>
      </w:r>
      <w:r>
        <w:rPr>
          <w:rFonts w:hint="eastAsia" w:ascii="仿宋_GB2312" w:eastAsia="仿宋_GB2312"/>
          <w:sz w:val="24"/>
          <w:lang w:val="en-US" w:eastAsia="zh-CN"/>
        </w:rPr>
        <w:t>11.42%</w:t>
      </w:r>
      <w:r>
        <w:rPr>
          <w:rFonts w:hint="eastAsia" w:ascii="仿宋_GB2312" w:eastAsia="仿宋_GB2312"/>
          <w:sz w:val="24"/>
          <w:lang w:eastAsia="zh-CN"/>
        </w:rPr>
        <w:t>。</w:t>
      </w:r>
    </w:p>
    <w:p>
      <w:pPr>
        <w:ind w:left="-359" w:leftChars="-171" w:right="359" w:rightChars="171" w:firstLine="480" w:firstLineChars="200"/>
        <w:rPr>
          <w:rFonts w:hint="eastAsia" w:ascii="仿宋_GB2312" w:eastAsia="仿宋_GB2312"/>
          <w:sz w:val="24"/>
          <w:lang w:eastAsia="zh-CN"/>
        </w:rPr>
      </w:pPr>
      <w:r>
        <w:rPr>
          <w:rFonts w:hint="eastAsia" w:ascii="仿宋_GB2312" w:eastAsia="仿宋_GB2312"/>
          <w:sz w:val="24"/>
          <w:lang w:eastAsia="zh-CN"/>
        </w:rPr>
        <w:t>农村特困人员救助</w:t>
      </w:r>
      <w:r>
        <w:rPr>
          <w:rFonts w:hint="eastAsia" w:ascii="仿宋_GB2312" w:eastAsia="仿宋_GB2312"/>
          <w:sz w:val="24"/>
          <w:lang w:val="en-US" w:eastAsia="zh-CN"/>
        </w:rPr>
        <w:t>8.73万人，</w:t>
      </w:r>
      <w:r>
        <w:rPr>
          <w:rFonts w:hint="eastAsia" w:ascii="仿宋_GB2312" w:eastAsia="仿宋_GB2312"/>
          <w:sz w:val="24"/>
        </w:rPr>
        <w:t>比</w:t>
      </w:r>
      <w:r>
        <w:rPr>
          <w:rFonts w:hint="eastAsia" w:ascii="仿宋_GB2312" w:eastAsia="仿宋_GB2312"/>
          <w:sz w:val="24"/>
          <w:lang w:eastAsia="zh-CN"/>
        </w:rPr>
        <w:t>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下降</w:t>
      </w:r>
      <w:r>
        <w:rPr>
          <w:rFonts w:hint="eastAsia" w:ascii="仿宋_GB2312" w:eastAsia="仿宋_GB2312"/>
          <w:sz w:val="24"/>
          <w:lang w:val="en-US" w:eastAsia="zh-CN"/>
        </w:rPr>
        <w:t>1.1</w:t>
      </w:r>
      <w:r>
        <w:rPr>
          <w:rFonts w:hint="eastAsia" w:ascii="仿宋_GB2312" w:eastAsia="仿宋_GB2312"/>
          <w:sz w:val="24"/>
        </w:rPr>
        <w:t>%，</w:t>
      </w:r>
      <w:r>
        <w:rPr>
          <w:rFonts w:hint="eastAsia" w:ascii="仿宋_GB2312" w:eastAsia="仿宋_GB2312"/>
          <w:sz w:val="24"/>
          <w:lang w:eastAsia="zh-CN"/>
        </w:rPr>
        <w:t>比</w:t>
      </w:r>
      <w:r>
        <w:rPr>
          <w:rFonts w:ascii="仿宋_GB2312" w:eastAsia="仿宋_GB2312"/>
          <w:sz w:val="24"/>
        </w:rPr>
        <w:t>上年同期同比</w:t>
      </w:r>
      <w:r>
        <w:rPr>
          <w:rFonts w:hint="eastAsia" w:ascii="仿宋_GB2312" w:eastAsia="仿宋_GB2312"/>
          <w:sz w:val="24"/>
          <w:lang w:eastAsia="zh-CN"/>
        </w:rPr>
        <w:t>下降</w:t>
      </w:r>
      <w:r>
        <w:rPr>
          <w:rFonts w:hint="eastAsia" w:ascii="仿宋_GB2312" w:eastAsia="仿宋_GB2312"/>
          <w:sz w:val="24"/>
          <w:lang w:val="en-US" w:eastAsia="zh-CN"/>
        </w:rPr>
        <w:t>1.05%</w:t>
      </w:r>
      <w:r>
        <w:rPr>
          <w:rFonts w:hint="eastAsia" w:ascii="仿宋_GB2312" w:eastAsia="仿宋_GB2312"/>
          <w:sz w:val="24"/>
          <w:lang w:eastAsia="zh-CN"/>
        </w:rPr>
        <w:t>。</w:t>
      </w:r>
    </w:p>
    <w:p>
      <w:pPr>
        <w:ind w:right="359" w:rightChars="171"/>
        <w:rPr>
          <w:rFonts w:hint="eastAsia" w:eastAsia="黑体"/>
          <w:sz w:val="32"/>
          <w:szCs w:val="32"/>
        </w:rPr>
      </w:pPr>
    </w:p>
    <w:p>
      <w:pPr>
        <w:ind w:right="359" w:rightChars="171"/>
        <w:rPr>
          <w:rFonts w:hint="eastAsia" w:eastAsia="黑体"/>
          <w:sz w:val="32"/>
          <w:szCs w:val="32"/>
        </w:rPr>
      </w:pPr>
      <w:r>
        <w:rPr>
          <w:rFonts w:hint="eastAsia" w:eastAsia="黑体"/>
          <w:sz w:val="32"/>
          <w:szCs w:val="32"/>
        </w:rPr>
        <w:t>三、成员组织与其他社会服务</w:t>
      </w:r>
      <w:r>
        <w:rPr>
          <w:rFonts w:hint="eastAsia" w:eastAsia="黑体"/>
          <w:sz w:val="32"/>
          <w:szCs w:val="32"/>
        </w:rPr>
        <w:tab/>
      </w:r>
    </w:p>
    <w:p>
      <w:pPr>
        <w:numPr>
          <w:ilvl w:val="0"/>
          <w:numId w:val="0"/>
        </w:numPr>
        <w:ind w:leftChars="0" w:right="359" w:rightChars="17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eastAsia="zh-CN"/>
        </w:rPr>
        <w:t>（一）</w:t>
      </w:r>
      <w:r>
        <w:rPr>
          <w:rFonts w:hint="eastAsia" w:ascii="楷体_GB2312" w:hAnsi="楷体_GB2312" w:eastAsia="楷体_GB2312" w:cs="楷体_GB2312"/>
          <w:b/>
          <w:bCs/>
          <w:sz w:val="32"/>
          <w:szCs w:val="32"/>
        </w:rPr>
        <w:t>成员组织</w:t>
      </w:r>
    </w:p>
    <w:p>
      <w:pPr>
        <w:ind w:right="359" w:rightChars="171"/>
        <w:rPr>
          <w:rFonts w:hint="eastAsia" w:ascii="仿宋_GB2312" w:eastAsia="仿宋_GB2312"/>
          <w:sz w:val="24"/>
        </w:rPr>
      </w:pPr>
    </w:p>
    <w:tbl>
      <w:tblPr>
        <w:tblStyle w:val="6"/>
        <w:tblW w:w="9039" w:type="dxa"/>
        <w:tblInd w:w="0" w:type="dxa"/>
        <w:tblLayout w:type="fixed"/>
        <w:tblCellMar>
          <w:top w:w="0" w:type="dxa"/>
          <w:left w:w="108" w:type="dxa"/>
          <w:bottom w:w="0" w:type="dxa"/>
          <w:right w:w="108" w:type="dxa"/>
        </w:tblCellMar>
      </w:tblPr>
      <w:tblGrid>
        <w:gridCol w:w="3370"/>
        <w:gridCol w:w="1079"/>
        <w:gridCol w:w="1613"/>
        <w:gridCol w:w="1613"/>
        <w:gridCol w:w="1364"/>
      </w:tblGrid>
      <w:tr>
        <w:tblPrEx>
          <w:tblLayout w:type="fixed"/>
          <w:tblCellMar>
            <w:top w:w="0" w:type="dxa"/>
            <w:left w:w="108" w:type="dxa"/>
            <w:bottom w:w="0" w:type="dxa"/>
            <w:right w:w="108" w:type="dxa"/>
          </w:tblCellMar>
        </w:tblPrEx>
        <w:trPr>
          <w:trHeight w:val="582" w:hRule="atLeast"/>
        </w:trPr>
        <w:tc>
          <w:tcPr>
            <w:tcW w:w="3370"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指      标</w:t>
            </w:r>
          </w:p>
        </w:tc>
        <w:tc>
          <w:tcPr>
            <w:tcW w:w="1079"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单 位</w:t>
            </w:r>
          </w:p>
        </w:tc>
        <w:tc>
          <w:tcPr>
            <w:tcW w:w="1613" w:type="dxa"/>
            <w:tcBorders>
              <w:top w:val="single" w:color="auto" w:sz="4" w:space="0"/>
              <w:left w:val="nil"/>
              <w:bottom w:val="single" w:color="auto" w:sz="4" w:space="0"/>
              <w:right w:val="single" w:color="auto" w:sz="4" w:space="0"/>
            </w:tcBorders>
            <w:vAlign w:val="center"/>
          </w:tcPr>
          <w:p>
            <w:pPr>
              <w:widowControl/>
              <w:jc w:val="center"/>
              <w:rPr>
                <w:rFonts w:hint="eastAsia"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数    量</w:t>
            </w:r>
          </w:p>
        </w:tc>
        <w:tc>
          <w:tcPr>
            <w:tcW w:w="1613"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环比（%）</w:t>
            </w:r>
          </w:p>
        </w:tc>
        <w:tc>
          <w:tcPr>
            <w:tcW w:w="1364" w:type="dxa"/>
            <w:tcBorders>
              <w:top w:val="single" w:color="auto" w:sz="4" w:space="0"/>
              <w:left w:val="single" w:color="auto" w:sz="4" w:space="0"/>
              <w:bottom w:val="single" w:color="auto" w:sz="4" w:space="0"/>
            </w:tcBorders>
            <w:vAlign w:val="center"/>
          </w:tcPr>
          <w:p>
            <w:pPr>
              <w:jc w:val="center"/>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同比（％）</w:t>
            </w:r>
          </w:p>
        </w:tc>
      </w:tr>
      <w:tr>
        <w:tblPrEx>
          <w:tblLayout w:type="fixed"/>
          <w:tblCellMar>
            <w:top w:w="0" w:type="dxa"/>
            <w:left w:w="108" w:type="dxa"/>
            <w:bottom w:w="0" w:type="dxa"/>
            <w:right w:w="108" w:type="dxa"/>
          </w:tblCellMar>
        </w:tblPrEx>
        <w:trPr>
          <w:trHeight w:val="319" w:hRule="atLeast"/>
        </w:trPr>
        <w:tc>
          <w:tcPr>
            <w:tcW w:w="3370" w:type="dxa"/>
            <w:tcBorders>
              <w:top w:val="single" w:color="auto" w:sz="4" w:space="0"/>
              <w:left w:val="nil"/>
              <w:bottom w:val="nil"/>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社会团体</w:t>
            </w:r>
          </w:p>
        </w:tc>
        <w:tc>
          <w:tcPr>
            <w:tcW w:w="1079" w:type="dxa"/>
            <w:tcBorders>
              <w:top w:val="single" w:color="auto" w:sz="4" w:space="0"/>
              <w:left w:val="nil"/>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个</w:t>
            </w:r>
          </w:p>
        </w:tc>
        <w:tc>
          <w:tcPr>
            <w:tcW w:w="1613" w:type="dxa"/>
            <w:tcBorders>
              <w:top w:val="single" w:color="auto" w:sz="4" w:space="0"/>
              <w:left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szCs w:val="24"/>
                <w:lang w:val="en-US" w:eastAsia="zh-CN"/>
              </w:rPr>
            </w:pPr>
            <w:r>
              <w:rPr>
                <w:rFonts w:hint="eastAsia" w:ascii="宋体" w:hAnsi="宋体" w:eastAsia="宋体" w:cs="宋体"/>
                <w:i w:val="0"/>
                <w:color w:val="000000"/>
                <w:kern w:val="0"/>
                <w:sz w:val="22"/>
                <w:szCs w:val="22"/>
                <w:u w:val="none"/>
                <w:lang w:val="en-US" w:eastAsia="zh-CN" w:bidi="ar"/>
              </w:rPr>
              <w:t>7244</w:t>
            </w:r>
          </w:p>
        </w:tc>
        <w:tc>
          <w:tcPr>
            <w:tcW w:w="1613" w:type="dxa"/>
            <w:tcBorders>
              <w:top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kern w:val="0"/>
                <w:sz w:val="24"/>
                <w:szCs w:val="24"/>
                <w:lang w:val="en-US" w:eastAsia="zh-CN"/>
              </w:rPr>
            </w:pPr>
            <w:r>
              <w:rPr>
                <w:rFonts w:hint="default" w:ascii="Arial" w:hAnsi="Arial" w:eastAsia="宋体" w:cs="Arial"/>
                <w:i w:val="0"/>
                <w:color w:val="000000"/>
                <w:kern w:val="0"/>
                <w:sz w:val="20"/>
                <w:szCs w:val="20"/>
                <w:u w:val="none"/>
                <w:lang w:val="en-US" w:eastAsia="zh-CN" w:bidi="ar"/>
              </w:rPr>
              <w:t xml:space="preserve">0.47 </w:t>
            </w:r>
          </w:p>
        </w:tc>
        <w:tc>
          <w:tcPr>
            <w:tcW w:w="1364" w:type="dxa"/>
            <w:tcBorders>
              <w:top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1.36 </w:t>
            </w:r>
          </w:p>
        </w:tc>
      </w:tr>
      <w:tr>
        <w:tblPrEx>
          <w:tblLayout w:type="fixed"/>
          <w:tblCellMar>
            <w:top w:w="0" w:type="dxa"/>
            <w:left w:w="108" w:type="dxa"/>
            <w:bottom w:w="0" w:type="dxa"/>
            <w:right w:w="108" w:type="dxa"/>
          </w:tblCellMar>
        </w:tblPrEx>
        <w:trPr>
          <w:trHeight w:val="319" w:hRule="atLeast"/>
        </w:trPr>
        <w:tc>
          <w:tcPr>
            <w:tcW w:w="3370" w:type="dxa"/>
            <w:tcBorders>
              <w:top w:val="nil"/>
              <w:left w:val="nil"/>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民办非企业单位</w:t>
            </w:r>
          </w:p>
        </w:tc>
        <w:tc>
          <w:tcPr>
            <w:tcW w:w="1079" w:type="dxa"/>
            <w:tcBorders>
              <w:top w:val="nil"/>
              <w:left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个</w:t>
            </w:r>
          </w:p>
        </w:tc>
        <w:tc>
          <w:tcPr>
            <w:tcW w:w="1613" w:type="dxa"/>
            <w:tcBorders>
              <w:top w:val="nil"/>
              <w:left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eastAsia" w:ascii="宋体" w:hAnsi="宋体" w:eastAsia="宋体" w:cs="宋体"/>
                <w:i w:val="0"/>
                <w:color w:val="000000"/>
                <w:kern w:val="0"/>
                <w:sz w:val="22"/>
                <w:szCs w:val="22"/>
                <w:u w:val="none"/>
                <w:lang w:val="en-US" w:eastAsia="zh-CN" w:bidi="ar"/>
              </w:rPr>
              <w:t>6846</w:t>
            </w:r>
          </w:p>
        </w:tc>
        <w:tc>
          <w:tcPr>
            <w:tcW w:w="1613"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0.07 </w:t>
            </w:r>
          </w:p>
        </w:tc>
        <w:tc>
          <w:tcPr>
            <w:tcW w:w="1364"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3.65 </w:t>
            </w:r>
          </w:p>
        </w:tc>
      </w:tr>
      <w:tr>
        <w:tblPrEx>
          <w:tblLayout w:type="fixed"/>
          <w:tblCellMar>
            <w:top w:w="0" w:type="dxa"/>
            <w:left w:w="108" w:type="dxa"/>
            <w:bottom w:w="0" w:type="dxa"/>
            <w:right w:w="108" w:type="dxa"/>
          </w:tblCellMar>
        </w:tblPrEx>
        <w:trPr>
          <w:trHeight w:val="319" w:hRule="atLeast"/>
        </w:trPr>
        <w:tc>
          <w:tcPr>
            <w:tcW w:w="3370" w:type="dxa"/>
            <w:tcBorders>
              <w:top w:val="nil"/>
              <w:left w:val="nil"/>
              <w:bottom w:val="nil"/>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基金会</w:t>
            </w:r>
          </w:p>
        </w:tc>
        <w:tc>
          <w:tcPr>
            <w:tcW w:w="1079" w:type="dxa"/>
            <w:tcBorders>
              <w:top w:val="nil"/>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个</w:t>
            </w:r>
          </w:p>
        </w:tc>
        <w:tc>
          <w:tcPr>
            <w:tcW w:w="1613" w:type="dxa"/>
            <w:tcBorders>
              <w:top w:val="nil"/>
              <w:left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eastAsia" w:ascii="宋体" w:hAnsi="宋体" w:eastAsia="宋体" w:cs="宋体"/>
                <w:i w:val="0"/>
                <w:color w:val="000000"/>
                <w:kern w:val="0"/>
                <w:sz w:val="22"/>
                <w:szCs w:val="22"/>
                <w:u w:val="none"/>
                <w:lang w:val="en-US" w:eastAsia="zh-CN" w:bidi="ar"/>
              </w:rPr>
              <w:t>70</w:t>
            </w:r>
          </w:p>
        </w:tc>
        <w:tc>
          <w:tcPr>
            <w:tcW w:w="1613"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eastAsia" w:ascii="仿宋_GB2312" w:hAnsi="Arial" w:eastAsia="仿宋_GB2312" w:cs="仿宋_GB2312"/>
                <w:i w:val="0"/>
                <w:color w:val="000000"/>
                <w:kern w:val="0"/>
                <w:sz w:val="24"/>
                <w:szCs w:val="24"/>
                <w:u w:val="none"/>
                <w:lang w:val="en-US" w:eastAsia="zh-CN" w:bidi="ar"/>
              </w:rPr>
              <w:t>——</w:t>
            </w:r>
          </w:p>
        </w:tc>
        <w:tc>
          <w:tcPr>
            <w:tcW w:w="1364"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6.06 </w:t>
            </w:r>
          </w:p>
        </w:tc>
      </w:tr>
      <w:tr>
        <w:tblPrEx>
          <w:tblLayout w:type="fixed"/>
          <w:tblCellMar>
            <w:top w:w="0" w:type="dxa"/>
            <w:left w:w="108" w:type="dxa"/>
            <w:bottom w:w="0" w:type="dxa"/>
            <w:right w:w="108" w:type="dxa"/>
          </w:tblCellMar>
        </w:tblPrEx>
        <w:trPr>
          <w:trHeight w:val="319" w:hRule="atLeast"/>
        </w:trPr>
        <w:tc>
          <w:tcPr>
            <w:tcW w:w="3370" w:type="dxa"/>
            <w:tcBorders>
              <w:top w:val="nil"/>
              <w:left w:val="nil"/>
              <w:bottom w:val="nil"/>
              <w:right w:val="single" w:color="auto" w:sz="4" w:space="0"/>
            </w:tcBorders>
            <w:vAlign w:val="center"/>
          </w:tcPr>
          <w:p>
            <w:pPr>
              <w:widowControl/>
              <w:ind w:firstLine="240" w:firstLineChars="100"/>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村委会</w:t>
            </w:r>
          </w:p>
        </w:tc>
        <w:tc>
          <w:tcPr>
            <w:tcW w:w="1079" w:type="dxa"/>
            <w:tcBorders>
              <w:top w:val="nil"/>
              <w:left w:val="single" w:color="auto" w:sz="4" w:space="0"/>
              <w:bottom w:val="nil"/>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个</w:t>
            </w:r>
          </w:p>
        </w:tc>
        <w:tc>
          <w:tcPr>
            <w:tcW w:w="1613" w:type="dxa"/>
            <w:tcBorders>
              <w:top w:val="nil"/>
              <w:left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eastAsia" w:ascii="宋体" w:hAnsi="宋体" w:eastAsia="宋体" w:cs="宋体"/>
                <w:i w:val="0"/>
                <w:color w:val="000000"/>
                <w:kern w:val="0"/>
                <w:sz w:val="22"/>
                <w:szCs w:val="22"/>
                <w:u w:val="none"/>
                <w:lang w:val="en-US" w:eastAsia="zh-CN" w:bidi="ar"/>
              </w:rPr>
              <w:t>13191</w:t>
            </w:r>
          </w:p>
        </w:tc>
        <w:tc>
          <w:tcPr>
            <w:tcW w:w="1613"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eastAsia" w:ascii="仿宋_GB2312" w:hAnsi="Arial" w:eastAsia="仿宋_GB2312" w:cs="仿宋_GB2312"/>
                <w:i w:val="0"/>
                <w:color w:val="000000"/>
                <w:kern w:val="0"/>
                <w:sz w:val="24"/>
                <w:szCs w:val="24"/>
                <w:u w:val="none"/>
                <w:lang w:val="en-US" w:eastAsia="zh-CN" w:bidi="ar"/>
              </w:rPr>
              <w:t>——</w:t>
            </w:r>
          </w:p>
        </w:tc>
        <w:tc>
          <w:tcPr>
            <w:tcW w:w="1364" w:type="dxa"/>
            <w:tcBorders>
              <w:top w:val="nil"/>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-0.32 </w:t>
            </w:r>
          </w:p>
        </w:tc>
      </w:tr>
      <w:tr>
        <w:tblPrEx>
          <w:tblLayout w:type="fixed"/>
          <w:tblCellMar>
            <w:top w:w="0" w:type="dxa"/>
            <w:left w:w="108" w:type="dxa"/>
            <w:bottom w:w="0" w:type="dxa"/>
            <w:right w:w="108" w:type="dxa"/>
          </w:tblCellMar>
        </w:tblPrEx>
        <w:trPr>
          <w:trHeight w:val="319" w:hRule="atLeast"/>
        </w:trPr>
        <w:tc>
          <w:tcPr>
            <w:tcW w:w="3370" w:type="dxa"/>
            <w:tcBorders>
              <w:top w:val="nil"/>
              <w:left w:val="nil"/>
              <w:bottom w:val="single" w:color="auto" w:sz="4" w:space="0"/>
              <w:right w:val="single" w:color="auto" w:sz="4" w:space="0"/>
            </w:tcBorders>
            <w:vAlign w:val="center"/>
          </w:tcPr>
          <w:p>
            <w:pPr>
              <w:widowControl/>
              <w:jc w:val="lef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居委会（社区居委会）</w:t>
            </w:r>
          </w:p>
        </w:tc>
        <w:tc>
          <w:tcPr>
            <w:tcW w:w="1079" w:type="dxa"/>
            <w:tcBorders>
              <w:top w:val="nil"/>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个</w:t>
            </w:r>
          </w:p>
        </w:tc>
        <w:tc>
          <w:tcPr>
            <w:tcW w:w="1613" w:type="dxa"/>
            <w:tcBorders>
              <w:top w:val="nil"/>
              <w:left w:val="single" w:color="auto" w:sz="4" w:space="0"/>
              <w:bottom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eastAsia" w:ascii="宋体" w:hAnsi="宋体" w:eastAsia="宋体" w:cs="宋体"/>
                <w:i w:val="0"/>
                <w:color w:val="000000"/>
                <w:kern w:val="0"/>
                <w:sz w:val="22"/>
                <w:szCs w:val="22"/>
                <w:u w:val="none"/>
                <w:lang w:val="en-US" w:eastAsia="zh-CN" w:bidi="ar"/>
              </w:rPr>
              <w:t>4598</w:t>
            </w:r>
          </w:p>
        </w:tc>
        <w:tc>
          <w:tcPr>
            <w:tcW w:w="1613" w:type="dxa"/>
            <w:tcBorders>
              <w:top w:val="nil"/>
              <w:bottom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-0.52 </w:t>
            </w:r>
          </w:p>
        </w:tc>
        <w:tc>
          <w:tcPr>
            <w:tcW w:w="1364" w:type="dxa"/>
            <w:tcBorders>
              <w:top w:val="nil"/>
              <w:bottom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3.33 </w:t>
            </w:r>
          </w:p>
        </w:tc>
      </w:tr>
    </w:tbl>
    <w:p>
      <w:pPr>
        <w:ind w:left="-359" w:leftChars="-171" w:right="359" w:rightChars="171" w:firstLine="480" w:firstLineChars="200"/>
        <w:rPr>
          <w:rFonts w:hint="eastAsia" w:ascii="仿宋_GB2312" w:eastAsia="仿宋_GB2312"/>
          <w:sz w:val="24"/>
        </w:rPr>
      </w:pPr>
    </w:p>
    <w:p>
      <w:pPr>
        <w:ind w:left="-359" w:leftChars="-171" w:right="359" w:rightChars="171" w:firstLine="480" w:firstLineChars="200"/>
        <w:rPr>
          <w:rFonts w:hint="eastAsia" w:ascii="仿宋_GB2312" w:eastAsia="仿宋_GB2312"/>
          <w:sz w:val="24"/>
        </w:rPr>
      </w:pPr>
      <w:r>
        <w:rPr>
          <w:rFonts w:hint="eastAsia" w:ascii="仿宋_GB2312" w:eastAsia="仿宋_GB2312"/>
          <w:sz w:val="24"/>
        </w:rPr>
        <w:t>截至</w:t>
      </w:r>
      <w:r>
        <w:rPr>
          <w:rFonts w:hint="eastAsia" w:ascii="仿宋_GB2312" w:eastAsia="仿宋_GB2312"/>
          <w:sz w:val="24"/>
          <w:lang w:eastAsia="zh-CN"/>
        </w:rPr>
        <w:t>2021年</w:t>
      </w:r>
      <w:r>
        <w:rPr>
          <w:rFonts w:hint="eastAsia" w:ascii="仿宋_GB2312" w:eastAsia="仿宋_GB2312"/>
          <w:sz w:val="24"/>
          <w:lang w:val="en-US" w:eastAsia="zh-CN"/>
        </w:rPr>
        <w:t>9月底</w:t>
      </w:r>
      <w:r>
        <w:rPr>
          <w:rFonts w:hint="eastAsia" w:ascii="仿宋_GB2312" w:eastAsia="仿宋_GB2312"/>
          <w:sz w:val="24"/>
        </w:rPr>
        <w:t>，全</w:t>
      </w:r>
      <w:r>
        <w:rPr>
          <w:rFonts w:hint="eastAsia" w:ascii="仿宋_GB2312" w:eastAsia="仿宋_GB2312"/>
          <w:sz w:val="24"/>
          <w:lang w:eastAsia="zh-CN"/>
        </w:rPr>
        <w:t>省</w:t>
      </w:r>
      <w:r>
        <w:rPr>
          <w:rFonts w:hint="eastAsia" w:ascii="仿宋_GB2312" w:eastAsia="仿宋_GB2312"/>
          <w:sz w:val="24"/>
        </w:rPr>
        <w:t>共有社会团体</w:t>
      </w:r>
      <w:r>
        <w:rPr>
          <w:rFonts w:hint="eastAsia" w:ascii="宋体" w:hAnsi="宋体" w:eastAsia="宋体" w:cs="宋体"/>
          <w:i w:val="0"/>
          <w:color w:val="000000"/>
          <w:kern w:val="0"/>
          <w:sz w:val="22"/>
          <w:szCs w:val="22"/>
          <w:u w:val="none"/>
          <w:lang w:val="en-US" w:eastAsia="zh-CN" w:bidi="ar"/>
        </w:rPr>
        <w:t>7244</w:t>
      </w:r>
      <w:r>
        <w:rPr>
          <w:rFonts w:hint="eastAsia" w:ascii="仿宋_GB2312" w:eastAsia="仿宋_GB2312"/>
          <w:sz w:val="24"/>
        </w:rPr>
        <w:t>个，</w:t>
      </w:r>
      <w:r>
        <w:rPr>
          <w:rFonts w:hint="eastAsia" w:ascii="仿宋_GB2312" w:eastAsia="仿宋_GB2312"/>
          <w:sz w:val="24"/>
          <w:lang w:eastAsia="zh-CN"/>
        </w:rPr>
        <w:t>比2021年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下降</w:t>
      </w:r>
      <w:r>
        <w:rPr>
          <w:rFonts w:hint="eastAsia" w:ascii="仿宋_GB2312" w:eastAsia="仿宋_GB2312"/>
          <w:sz w:val="24"/>
          <w:lang w:val="en-US" w:eastAsia="zh-CN"/>
        </w:rPr>
        <w:t>0.47%</w:t>
      </w:r>
      <w:r>
        <w:rPr>
          <w:rFonts w:hint="eastAsia" w:ascii="仿宋_GB2312" w:eastAsia="仿宋_GB2312"/>
          <w:sz w:val="24"/>
        </w:rPr>
        <w:t>，比上年同期同比</w:t>
      </w:r>
      <w:r>
        <w:rPr>
          <w:rFonts w:hint="eastAsia" w:ascii="仿宋_GB2312" w:eastAsia="仿宋_GB2312"/>
          <w:sz w:val="24"/>
          <w:lang w:eastAsia="zh-CN"/>
        </w:rPr>
        <w:t>增长</w:t>
      </w:r>
      <w:r>
        <w:rPr>
          <w:rFonts w:hint="eastAsia" w:ascii="仿宋_GB2312" w:eastAsia="仿宋_GB2312"/>
          <w:sz w:val="24"/>
          <w:lang w:val="en-US" w:eastAsia="zh-CN"/>
        </w:rPr>
        <w:t>1.36</w:t>
      </w:r>
      <w:r>
        <w:rPr>
          <w:rFonts w:hint="eastAsia" w:ascii="仿宋_GB2312" w:eastAsia="仿宋_GB2312"/>
          <w:sz w:val="24"/>
        </w:rPr>
        <w:t>%；民办非企业单位</w:t>
      </w:r>
      <w:r>
        <w:rPr>
          <w:rFonts w:hint="eastAsia" w:ascii="仿宋_GB2312" w:eastAsia="仿宋_GB2312"/>
          <w:sz w:val="24"/>
          <w:lang w:val="en-US" w:eastAsia="zh-CN"/>
        </w:rPr>
        <w:t>6846</w:t>
      </w:r>
      <w:r>
        <w:rPr>
          <w:rFonts w:hint="eastAsia" w:ascii="仿宋_GB2312" w:eastAsia="仿宋_GB2312"/>
          <w:sz w:val="24"/>
        </w:rPr>
        <w:t>个，比</w:t>
      </w:r>
      <w:r>
        <w:rPr>
          <w:rFonts w:hint="eastAsia" w:ascii="仿宋_GB2312" w:eastAsia="仿宋_GB2312"/>
          <w:sz w:val="24"/>
          <w:lang w:eastAsia="zh-CN"/>
        </w:rPr>
        <w:t>2021年</w:t>
      </w:r>
      <w:r>
        <w:rPr>
          <w:rFonts w:hint="eastAsia" w:ascii="仿宋_GB2312" w:eastAsia="仿宋_GB2312"/>
          <w:sz w:val="24"/>
          <w:lang w:val="en-US" w:eastAsia="zh-CN"/>
        </w:rPr>
        <w:t>2</w:t>
      </w:r>
      <w:r>
        <w:rPr>
          <w:rFonts w:hint="eastAsia" w:ascii="仿宋_GB2312" w:eastAsia="仿宋_GB2312"/>
          <w:sz w:val="24"/>
        </w:rPr>
        <w:t>季度增长</w:t>
      </w:r>
      <w:r>
        <w:rPr>
          <w:rFonts w:hint="eastAsia" w:ascii="仿宋_GB2312" w:eastAsia="仿宋_GB2312"/>
          <w:sz w:val="24"/>
          <w:lang w:val="en-US" w:eastAsia="zh-CN"/>
        </w:rPr>
        <w:t>0.07</w:t>
      </w:r>
      <w:r>
        <w:rPr>
          <w:rFonts w:hint="eastAsia" w:ascii="仿宋_GB2312" w:eastAsia="仿宋_GB2312"/>
          <w:sz w:val="24"/>
        </w:rPr>
        <w:t>%，比上年同期同比增长</w:t>
      </w:r>
      <w:r>
        <w:rPr>
          <w:rFonts w:hint="eastAsia" w:ascii="仿宋_GB2312" w:eastAsia="仿宋_GB2312"/>
          <w:sz w:val="24"/>
          <w:lang w:val="en-US" w:eastAsia="zh-CN"/>
        </w:rPr>
        <w:t>3.65</w:t>
      </w:r>
      <w:r>
        <w:rPr>
          <w:rFonts w:hint="eastAsia" w:ascii="仿宋_GB2312" w:eastAsia="仿宋_GB2312"/>
          <w:sz w:val="24"/>
        </w:rPr>
        <w:t>%</w:t>
      </w:r>
      <w:r>
        <w:rPr>
          <w:rFonts w:hint="eastAsia" w:ascii="仿宋_GB2312" w:eastAsia="仿宋_GB2312"/>
          <w:color w:val="auto"/>
          <w:sz w:val="24"/>
        </w:rPr>
        <w:t>；基金会</w:t>
      </w:r>
      <w:r>
        <w:rPr>
          <w:rFonts w:hint="eastAsia" w:ascii="仿宋_GB2312" w:eastAsia="仿宋_GB2312"/>
          <w:color w:val="auto"/>
          <w:sz w:val="24"/>
          <w:lang w:val="en-US" w:eastAsia="zh-CN"/>
        </w:rPr>
        <w:t>70</w:t>
      </w:r>
      <w:r>
        <w:rPr>
          <w:rFonts w:hint="eastAsia" w:ascii="仿宋_GB2312" w:eastAsia="仿宋_GB2312"/>
          <w:color w:val="auto"/>
          <w:sz w:val="24"/>
        </w:rPr>
        <w:t>个，</w:t>
      </w:r>
      <w:r>
        <w:rPr>
          <w:rFonts w:hint="eastAsia" w:ascii="仿宋_GB2312" w:eastAsia="仿宋_GB2312"/>
          <w:color w:val="auto"/>
          <w:sz w:val="24"/>
          <w:lang w:eastAsia="zh-CN"/>
        </w:rPr>
        <w:t>与2021年</w:t>
      </w:r>
      <w:r>
        <w:rPr>
          <w:rFonts w:hint="eastAsia" w:ascii="仿宋_GB2312" w:eastAsia="仿宋_GB2312"/>
          <w:color w:val="auto"/>
          <w:sz w:val="24"/>
          <w:lang w:val="en-US" w:eastAsia="zh-CN"/>
        </w:rPr>
        <w:t>2</w:t>
      </w:r>
      <w:r>
        <w:rPr>
          <w:rFonts w:ascii="仿宋_GB2312" w:eastAsia="仿宋_GB2312"/>
          <w:color w:val="auto"/>
          <w:sz w:val="24"/>
        </w:rPr>
        <w:t>季度</w:t>
      </w:r>
      <w:r>
        <w:rPr>
          <w:rFonts w:hint="eastAsia" w:ascii="仿宋_GB2312" w:eastAsia="仿宋_GB2312"/>
          <w:color w:val="auto"/>
          <w:sz w:val="24"/>
          <w:lang w:eastAsia="zh-CN"/>
        </w:rPr>
        <w:t>持平</w:t>
      </w:r>
      <w:r>
        <w:rPr>
          <w:rFonts w:hint="eastAsia" w:ascii="仿宋_GB2312" w:eastAsia="仿宋_GB2312"/>
          <w:color w:val="auto"/>
          <w:sz w:val="24"/>
        </w:rPr>
        <w:t>，比上年同期同比增长</w:t>
      </w:r>
      <w:r>
        <w:rPr>
          <w:rFonts w:hint="eastAsia" w:ascii="仿宋_GB2312" w:eastAsia="仿宋_GB2312"/>
          <w:color w:val="auto"/>
          <w:sz w:val="24"/>
          <w:lang w:val="en-US" w:eastAsia="zh-CN"/>
        </w:rPr>
        <w:t>6.06</w:t>
      </w:r>
      <w:r>
        <w:rPr>
          <w:rFonts w:hint="eastAsia" w:ascii="仿宋_GB2312" w:eastAsia="仿宋_GB2312"/>
          <w:color w:val="auto"/>
          <w:sz w:val="24"/>
        </w:rPr>
        <w:t>%；村委会</w:t>
      </w:r>
      <w:r>
        <w:rPr>
          <w:rFonts w:hint="eastAsia" w:ascii="仿宋_GB2312" w:eastAsia="仿宋_GB2312"/>
          <w:color w:val="auto"/>
          <w:sz w:val="24"/>
          <w:lang w:val="en-US" w:eastAsia="zh-CN"/>
        </w:rPr>
        <w:t>13191</w:t>
      </w:r>
      <w:r>
        <w:rPr>
          <w:rFonts w:hint="eastAsia" w:ascii="仿宋_GB2312" w:eastAsia="仿宋_GB2312"/>
          <w:color w:val="auto"/>
          <w:sz w:val="24"/>
        </w:rPr>
        <w:t>个,</w:t>
      </w:r>
      <w:r>
        <w:rPr>
          <w:rFonts w:hint="eastAsia" w:ascii="仿宋_GB2312" w:eastAsia="仿宋_GB2312"/>
          <w:color w:val="auto"/>
          <w:sz w:val="24"/>
          <w:lang w:eastAsia="zh-CN"/>
        </w:rPr>
        <w:t>与2</w:t>
      </w:r>
      <w:r>
        <w:rPr>
          <w:rFonts w:hint="eastAsia" w:ascii="仿宋_GB2312" w:eastAsia="仿宋_GB2312"/>
          <w:color w:val="000000"/>
          <w:sz w:val="24"/>
          <w:lang w:eastAsia="zh-CN"/>
        </w:rPr>
        <w:t>021年</w:t>
      </w:r>
      <w:r>
        <w:rPr>
          <w:rFonts w:hint="eastAsia" w:ascii="仿宋_GB2312" w:eastAsia="仿宋_GB2312"/>
          <w:color w:val="000000"/>
          <w:sz w:val="24"/>
          <w:lang w:val="en-US" w:eastAsia="zh-CN"/>
        </w:rPr>
        <w:t>2</w:t>
      </w:r>
      <w:r>
        <w:rPr>
          <w:rFonts w:ascii="仿宋_GB2312" w:eastAsia="仿宋_GB2312"/>
          <w:color w:val="000000"/>
          <w:sz w:val="24"/>
        </w:rPr>
        <w:t>季度</w:t>
      </w:r>
      <w:r>
        <w:rPr>
          <w:rFonts w:hint="eastAsia" w:ascii="仿宋_GB2312" w:eastAsia="仿宋_GB2312"/>
          <w:color w:val="000000"/>
          <w:sz w:val="24"/>
          <w:lang w:eastAsia="zh-CN"/>
        </w:rPr>
        <w:t>持平</w:t>
      </w:r>
      <w:r>
        <w:rPr>
          <w:rFonts w:hint="eastAsia" w:ascii="仿宋_GB2312" w:eastAsia="仿宋_GB2312"/>
          <w:sz w:val="24"/>
        </w:rPr>
        <w:t>，比上年同期同比</w:t>
      </w:r>
      <w:r>
        <w:rPr>
          <w:rFonts w:hint="eastAsia" w:ascii="仿宋_GB2312" w:eastAsia="仿宋_GB2312"/>
          <w:sz w:val="24"/>
          <w:lang w:eastAsia="zh-CN"/>
        </w:rPr>
        <w:t>下降</w:t>
      </w:r>
      <w:r>
        <w:rPr>
          <w:rFonts w:hint="eastAsia" w:ascii="仿宋_GB2312" w:eastAsia="仿宋_GB2312"/>
          <w:sz w:val="24"/>
          <w:lang w:val="en-US" w:eastAsia="zh-CN"/>
        </w:rPr>
        <w:t>0.32</w:t>
      </w:r>
      <w:r>
        <w:rPr>
          <w:rFonts w:hint="eastAsia" w:ascii="仿宋_GB2312" w:eastAsia="仿宋_GB2312"/>
          <w:sz w:val="24"/>
        </w:rPr>
        <w:t>%；居委会（社区居委会</w:t>
      </w:r>
      <w:r>
        <w:rPr>
          <w:rFonts w:hint="eastAsia" w:ascii="仿宋_GB2312" w:eastAsia="仿宋_GB2312"/>
          <w:sz w:val="24"/>
          <w:lang w:eastAsia="zh-CN"/>
        </w:rPr>
        <w:t>）</w:t>
      </w:r>
      <w:r>
        <w:rPr>
          <w:rFonts w:hint="eastAsia" w:ascii="仿宋_GB2312" w:eastAsia="仿宋_GB2312"/>
          <w:sz w:val="24"/>
          <w:lang w:val="en-US" w:eastAsia="zh-CN"/>
        </w:rPr>
        <w:t>4598</w:t>
      </w:r>
      <w:r>
        <w:rPr>
          <w:rFonts w:hint="eastAsia" w:ascii="仿宋_GB2312" w:eastAsia="仿宋_GB2312"/>
          <w:sz w:val="24"/>
        </w:rPr>
        <w:t>个，</w:t>
      </w:r>
      <w:r>
        <w:rPr>
          <w:rFonts w:hint="eastAsia" w:ascii="仿宋_GB2312" w:eastAsia="仿宋_GB2312"/>
          <w:sz w:val="24"/>
          <w:lang w:eastAsia="zh-CN"/>
        </w:rPr>
        <w:t>比2021年</w:t>
      </w:r>
      <w:r>
        <w:rPr>
          <w:rFonts w:hint="eastAsia" w:ascii="仿宋_GB2312" w:eastAsia="仿宋_GB2312"/>
          <w:sz w:val="24"/>
          <w:lang w:val="en-US" w:eastAsia="zh-CN"/>
        </w:rPr>
        <w:t>2</w:t>
      </w:r>
      <w:r>
        <w:rPr>
          <w:rFonts w:hint="eastAsia" w:ascii="仿宋_GB2312" w:eastAsia="仿宋_GB2312"/>
          <w:sz w:val="24"/>
        </w:rPr>
        <w:t>季度</w:t>
      </w:r>
      <w:r>
        <w:rPr>
          <w:rFonts w:hint="eastAsia" w:ascii="仿宋_GB2312" w:eastAsia="仿宋_GB2312"/>
          <w:sz w:val="24"/>
          <w:lang w:eastAsia="zh-CN"/>
        </w:rPr>
        <w:t>下降</w:t>
      </w:r>
      <w:r>
        <w:rPr>
          <w:rFonts w:hint="eastAsia" w:ascii="仿宋_GB2312" w:eastAsia="仿宋_GB2312"/>
          <w:sz w:val="24"/>
          <w:lang w:val="en-US" w:eastAsia="zh-CN"/>
        </w:rPr>
        <w:t>0.52</w:t>
      </w:r>
      <w:r>
        <w:rPr>
          <w:rFonts w:hint="eastAsia" w:ascii="仿宋_GB2312" w:eastAsia="仿宋_GB2312"/>
          <w:color w:val="000000"/>
          <w:sz w:val="24"/>
        </w:rPr>
        <w:t>%</w:t>
      </w:r>
      <w:r>
        <w:rPr>
          <w:rFonts w:hint="eastAsia" w:ascii="仿宋_GB2312" w:eastAsia="仿宋_GB2312"/>
          <w:sz w:val="24"/>
        </w:rPr>
        <w:t>，比上年同期同比</w:t>
      </w:r>
      <w:r>
        <w:rPr>
          <w:rFonts w:hint="eastAsia" w:ascii="仿宋_GB2312" w:eastAsia="仿宋_GB2312"/>
          <w:sz w:val="24"/>
          <w:lang w:eastAsia="zh-CN"/>
        </w:rPr>
        <w:t>增长</w:t>
      </w:r>
      <w:r>
        <w:rPr>
          <w:rFonts w:hint="eastAsia" w:ascii="仿宋_GB2312" w:eastAsia="仿宋_GB2312"/>
          <w:sz w:val="24"/>
          <w:lang w:val="en-US" w:eastAsia="zh-CN"/>
        </w:rPr>
        <w:t>3.33</w:t>
      </w:r>
      <w:r>
        <w:rPr>
          <w:rFonts w:hint="eastAsia" w:ascii="仿宋_GB2312" w:eastAsia="仿宋_GB2312"/>
          <w:sz w:val="24"/>
        </w:rPr>
        <w:t>%。</w:t>
      </w:r>
    </w:p>
    <w:p>
      <w:pPr>
        <w:ind w:right="359" w:rightChars="171"/>
        <w:rPr>
          <w:rFonts w:hint="eastAsia" w:eastAsia="黑体"/>
          <w:sz w:val="32"/>
          <w:szCs w:val="32"/>
        </w:rPr>
      </w:pPr>
    </w:p>
    <w:p>
      <w:pPr>
        <w:numPr>
          <w:ilvl w:val="0"/>
          <w:numId w:val="0"/>
        </w:numPr>
        <w:ind w:leftChars="0" w:right="359" w:rightChars="17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（二）其他社会服务</w:t>
      </w:r>
    </w:p>
    <w:p>
      <w:pPr>
        <w:ind w:right="359" w:rightChars="171"/>
        <w:rPr>
          <w:rFonts w:hint="eastAsia" w:ascii="宋体" w:hAnsi="宋体"/>
          <w:sz w:val="24"/>
        </w:rPr>
      </w:pPr>
    </w:p>
    <w:tbl>
      <w:tblPr>
        <w:tblStyle w:val="6"/>
        <w:tblW w:w="11163" w:type="dxa"/>
        <w:tblInd w:w="108" w:type="dxa"/>
        <w:tblLayout w:type="fixed"/>
        <w:tblCellMar>
          <w:top w:w="0" w:type="dxa"/>
          <w:left w:w="108" w:type="dxa"/>
          <w:bottom w:w="0" w:type="dxa"/>
          <w:right w:w="108" w:type="dxa"/>
        </w:tblCellMar>
      </w:tblPr>
      <w:tblGrid>
        <w:gridCol w:w="3828"/>
        <w:gridCol w:w="992"/>
        <w:gridCol w:w="2126"/>
        <w:gridCol w:w="1985"/>
        <w:gridCol w:w="2232"/>
      </w:tblGrid>
      <w:tr>
        <w:tblPrEx>
          <w:tblLayout w:type="fixed"/>
          <w:tblCellMar>
            <w:top w:w="0" w:type="dxa"/>
            <w:left w:w="108" w:type="dxa"/>
            <w:bottom w:w="0" w:type="dxa"/>
            <w:right w:w="108" w:type="dxa"/>
          </w:tblCellMar>
        </w:tblPrEx>
        <w:trPr>
          <w:gridAfter w:val="1"/>
          <w:wAfter w:w="2232" w:type="dxa"/>
          <w:trHeight w:val="315" w:hRule="atLeast"/>
        </w:trPr>
        <w:tc>
          <w:tcPr>
            <w:tcW w:w="3828" w:type="dxa"/>
            <w:tcBorders>
              <w:top w:val="single" w:color="auto" w:sz="8" w:space="0"/>
              <w:left w:val="nil"/>
              <w:bottom w:val="nil"/>
              <w:right w:val="single" w:color="auto" w:sz="8" w:space="0"/>
            </w:tcBorders>
            <w:vAlign w:val="center"/>
          </w:tcPr>
          <w:p>
            <w:pPr>
              <w:widowControl/>
              <w:jc w:val="center"/>
              <w:rPr>
                <w:rFonts w:hint="eastAsia" w:ascii="仿宋_GB2312" w:hAnsi="仿宋_GB2312" w:eastAsia="仿宋_GB2312" w:cs="仿宋_GB2312"/>
                <w:b/>
                <w:bCs/>
                <w:color w:val="000000"/>
                <w:kern w:val="0"/>
                <w:sz w:val="24"/>
                <w:szCs w:val="24"/>
              </w:rPr>
            </w:pPr>
            <w:r>
              <w:rPr>
                <w:rFonts w:hint="eastAsia" w:ascii="仿宋_GB2312" w:hAnsi="仿宋_GB2312" w:eastAsia="仿宋_GB2312" w:cs="仿宋_GB2312"/>
                <w:b/>
                <w:bCs/>
                <w:color w:val="000000"/>
                <w:kern w:val="0"/>
                <w:sz w:val="24"/>
                <w:szCs w:val="24"/>
              </w:rPr>
              <w:t>指      标</w:t>
            </w:r>
          </w:p>
        </w:tc>
        <w:tc>
          <w:tcPr>
            <w:tcW w:w="992" w:type="dxa"/>
            <w:tcBorders>
              <w:top w:val="single" w:color="auto" w:sz="8" w:space="0"/>
              <w:left w:val="nil"/>
              <w:bottom w:val="nil"/>
              <w:right w:val="single" w:color="auto" w:sz="8" w:space="0"/>
            </w:tcBorders>
            <w:vAlign w:val="center"/>
          </w:tcPr>
          <w:p>
            <w:pPr>
              <w:widowControl/>
              <w:jc w:val="center"/>
              <w:rPr>
                <w:rFonts w:hint="eastAsia" w:ascii="仿宋_GB2312" w:hAnsi="仿宋_GB2312" w:eastAsia="仿宋_GB2312" w:cs="仿宋_GB2312"/>
                <w:b/>
                <w:bCs/>
                <w:color w:val="000000"/>
                <w:kern w:val="0"/>
                <w:sz w:val="24"/>
                <w:szCs w:val="24"/>
              </w:rPr>
            </w:pPr>
            <w:r>
              <w:rPr>
                <w:rFonts w:hint="eastAsia" w:ascii="仿宋_GB2312" w:hAnsi="仿宋_GB2312" w:eastAsia="仿宋_GB2312" w:cs="仿宋_GB2312"/>
                <w:b/>
                <w:bCs/>
                <w:color w:val="000000"/>
                <w:kern w:val="0"/>
                <w:sz w:val="24"/>
                <w:szCs w:val="24"/>
              </w:rPr>
              <w:t>单 位</w:t>
            </w:r>
          </w:p>
        </w:tc>
        <w:tc>
          <w:tcPr>
            <w:tcW w:w="2126" w:type="dxa"/>
            <w:tcBorders>
              <w:top w:val="single" w:color="auto" w:sz="8" w:space="0"/>
              <w:left w:val="nil"/>
              <w:bottom w:val="single" w:color="auto" w:sz="8" w:space="0"/>
              <w:right w:val="single" w:color="auto" w:sz="8" w:space="0"/>
            </w:tcBorders>
            <w:vAlign w:val="center"/>
          </w:tcPr>
          <w:p>
            <w:pPr>
              <w:widowControl/>
              <w:jc w:val="center"/>
              <w:rPr>
                <w:rFonts w:hint="eastAsia" w:ascii="仿宋_GB2312" w:hAnsi="仿宋_GB2312" w:eastAsia="仿宋_GB2312" w:cs="仿宋_GB2312"/>
                <w:b/>
                <w:bCs/>
                <w:color w:val="000000"/>
                <w:kern w:val="0"/>
                <w:sz w:val="24"/>
                <w:szCs w:val="24"/>
              </w:rPr>
            </w:pPr>
            <w:r>
              <w:rPr>
                <w:rFonts w:hint="eastAsia" w:ascii="仿宋_GB2312" w:hAnsi="仿宋_GB2312" w:eastAsia="仿宋_GB2312" w:cs="仿宋_GB2312"/>
                <w:b/>
                <w:bCs/>
                <w:color w:val="000000"/>
                <w:kern w:val="0"/>
                <w:sz w:val="24"/>
                <w:szCs w:val="24"/>
              </w:rPr>
              <w:t>数    量</w:t>
            </w:r>
          </w:p>
        </w:tc>
        <w:tc>
          <w:tcPr>
            <w:tcW w:w="1985" w:type="dxa"/>
            <w:tcBorders>
              <w:top w:val="single" w:color="auto" w:sz="8" w:space="0"/>
              <w:left w:val="nil"/>
              <w:bottom w:val="single" w:color="auto" w:sz="8" w:space="0"/>
              <w:right w:val="nil"/>
            </w:tcBorders>
            <w:vAlign w:val="center"/>
          </w:tcPr>
          <w:p>
            <w:pPr>
              <w:widowControl/>
              <w:jc w:val="right"/>
              <w:rPr>
                <w:rFonts w:hint="eastAsia" w:ascii="仿宋_GB2312" w:hAnsi="仿宋_GB2312" w:eastAsia="仿宋_GB2312" w:cs="仿宋_GB2312"/>
                <w:b/>
                <w:bCs/>
                <w:color w:val="000000"/>
                <w:kern w:val="0"/>
                <w:sz w:val="24"/>
                <w:szCs w:val="24"/>
              </w:rPr>
            </w:pPr>
            <w:r>
              <w:rPr>
                <w:rFonts w:hint="eastAsia" w:ascii="仿宋_GB2312" w:hAnsi="仿宋_GB2312" w:eastAsia="仿宋_GB2312" w:cs="仿宋_GB2312"/>
                <w:b/>
                <w:bCs/>
                <w:color w:val="000000"/>
                <w:kern w:val="0"/>
                <w:sz w:val="24"/>
                <w:szCs w:val="24"/>
              </w:rPr>
              <w:t>同比（％）</w:t>
            </w:r>
          </w:p>
        </w:tc>
      </w:tr>
      <w:tr>
        <w:tblPrEx>
          <w:tblLayout w:type="fixed"/>
          <w:tblCellMar>
            <w:top w:w="0" w:type="dxa"/>
            <w:left w:w="108" w:type="dxa"/>
            <w:bottom w:w="0" w:type="dxa"/>
            <w:right w:w="108" w:type="dxa"/>
          </w:tblCellMar>
        </w:tblPrEx>
        <w:trPr>
          <w:gridAfter w:val="1"/>
          <w:wAfter w:w="2232" w:type="dxa"/>
          <w:trHeight w:val="300" w:hRule="atLeast"/>
        </w:trPr>
        <w:tc>
          <w:tcPr>
            <w:tcW w:w="3828" w:type="dxa"/>
            <w:tcBorders>
              <w:top w:val="single" w:color="auto" w:sz="8" w:space="0"/>
              <w:left w:val="nil"/>
              <w:bottom w:val="nil"/>
              <w:right w:val="single" w:color="auto" w:sz="8" w:space="0"/>
            </w:tcBorders>
            <w:vAlign w:val="center"/>
          </w:tcPr>
          <w:p>
            <w:pPr>
              <w:widowControl/>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 xml:space="preserve">  </w:t>
            </w:r>
          </w:p>
        </w:tc>
        <w:tc>
          <w:tcPr>
            <w:tcW w:w="992" w:type="dxa"/>
            <w:tcBorders>
              <w:top w:val="single" w:color="auto" w:sz="8" w:space="0"/>
              <w:left w:val="nil"/>
              <w:bottom w:val="nil"/>
              <w:right w:val="single" w:color="auto" w:sz="8" w:space="0"/>
            </w:tcBorders>
            <w:vAlign w:val="center"/>
          </w:tcPr>
          <w:p>
            <w:pPr>
              <w:widowControl/>
              <w:jc w:val="center"/>
              <w:rPr>
                <w:rFonts w:hint="eastAsia" w:ascii="仿宋_GB2312" w:hAnsi="仿宋_GB2312" w:eastAsia="仿宋_GB2312" w:cs="仿宋_GB2312"/>
                <w:color w:val="000000"/>
                <w:kern w:val="0"/>
                <w:sz w:val="24"/>
                <w:szCs w:val="24"/>
              </w:rPr>
            </w:pPr>
          </w:p>
        </w:tc>
        <w:tc>
          <w:tcPr>
            <w:tcW w:w="2126" w:type="dxa"/>
            <w:tcBorders>
              <w:top w:val="single" w:color="auto" w:sz="8" w:space="0"/>
              <w:left w:val="single" w:color="auto" w:sz="4" w:space="0"/>
            </w:tcBorders>
            <w:vAlign w:val="bottom"/>
          </w:tcPr>
          <w:p>
            <w:pPr>
              <w:widowControl/>
              <w:jc w:val="center"/>
              <w:rPr>
                <w:rFonts w:hint="default" w:ascii="仿宋_GB2312" w:hAnsi="仿宋_GB2312" w:eastAsia="仿宋_GB2312" w:cs="仿宋_GB2312"/>
                <w:color w:val="000000"/>
                <w:kern w:val="0"/>
                <w:sz w:val="24"/>
                <w:szCs w:val="24"/>
                <w:lang w:val="en-US" w:eastAsia="zh-CN"/>
              </w:rPr>
            </w:pPr>
          </w:p>
        </w:tc>
        <w:tc>
          <w:tcPr>
            <w:tcW w:w="1985" w:type="dxa"/>
            <w:tcBorders>
              <w:top w:val="single" w:color="auto" w:sz="8" w:space="0"/>
            </w:tcBorders>
            <w:vAlign w:val="bottom"/>
          </w:tcPr>
          <w:p>
            <w:pPr>
              <w:widowControl/>
              <w:jc w:val="center"/>
              <w:rPr>
                <w:rFonts w:hint="default" w:ascii="仿宋_GB2312" w:hAnsi="仿宋_GB2312" w:eastAsia="仿宋_GB2312" w:cs="仿宋_GB2312"/>
                <w:color w:val="000000"/>
                <w:kern w:val="0"/>
                <w:sz w:val="24"/>
                <w:szCs w:val="24"/>
                <w:lang w:val="en-US" w:eastAsia="zh-CN"/>
              </w:rPr>
            </w:pPr>
          </w:p>
        </w:tc>
      </w:tr>
      <w:tr>
        <w:tblPrEx>
          <w:tblLayout w:type="fixed"/>
          <w:tblCellMar>
            <w:top w:w="0" w:type="dxa"/>
            <w:left w:w="108" w:type="dxa"/>
            <w:bottom w:w="0" w:type="dxa"/>
            <w:right w:w="108" w:type="dxa"/>
          </w:tblCellMar>
        </w:tblPrEx>
        <w:trPr>
          <w:trHeight w:val="300" w:hRule="atLeast"/>
        </w:trPr>
        <w:tc>
          <w:tcPr>
            <w:tcW w:w="3828" w:type="dxa"/>
            <w:tcBorders>
              <w:top w:val="nil"/>
              <w:left w:val="nil"/>
              <w:bottom w:val="nil"/>
              <w:right w:val="single" w:color="auto" w:sz="8" w:space="0"/>
            </w:tcBorders>
            <w:vAlign w:val="center"/>
          </w:tcPr>
          <w:p>
            <w:pPr>
              <w:widowControl/>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 xml:space="preserve">  结婚登记</w:t>
            </w:r>
          </w:p>
        </w:tc>
        <w:tc>
          <w:tcPr>
            <w:tcW w:w="992" w:type="dxa"/>
            <w:tcBorders>
              <w:top w:val="nil"/>
              <w:left w:val="nil"/>
              <w:bottom w:val="nil"/>
              <w:right w:val="single" w:color="auto" w:sz="8" w:space="0"/>
            </w:tcBorders>
            <w:vAlign w:val="center"/>
          </w:tcPr>
          <w:p>
            <w:pPr>
              <w:widowControl/>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eastAsia="zh-CN"/>
              </w:rPr>
              <w:t>万</w:t>
            </w:r>
            <w:r>
              <w:rPr>
                <w:rFonts w:hint="eastAsia" w:ascii="仿宋_GB2312" w:hAnsi="仿宋_GB2312" w:eastAsia="仿宋_GB2312" w:cs="仿宋_GB2312"/>
                <w:color w:val="000000"/>
                <w:kern w:val="0"/>
                <w:sz w:val="24"/>
                <w:szCs w:val="24"/>
              </w:rPr>
              <w:t xml:space="preserve">对 </w:t>
            </w:r>
          </w:p>
        </w:tc>
        <w:tc>
          <w:tcPr>
            <w:tcW w:w="2126" w:type="dxa"/>
            <w:tcBorders>
              <w:top w:val="nil"/>
              <w:left w:val="single" w:color="auto" w:sz="4" w:space="0"/>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22.78</w:t>
            </w:r>
          </w:p>
        </w:tc>
        <w:tc>
          <w:tcPr>
            <w:tcW w:w="1985" w:type="dxa"/>
            <w:tcBorders>
              <w:top w:val="nil"/>
            </w:tcBorders>
            <w:shd w:val="clear" w:color="auto" w:fill="auto"/>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-3.52 </w:t>
            </w:r>
          </w:p>
        </w:tc>
        <w:tc>
          <w:tcPr>
            <w:tcW w:w="2232" w:type="dxa"/>
            <w:vAlign w:val="center"/>
          </w:tcPr>
          <w:p>
            <w:pPr>
              <w:keepNext w:val="0"/>
              <w:keepLines w:val="0"/>
              <w:widowControl/>
              <w:suppressLineNumbers w:val="0"/>
              <w:jc w:val="center"/>
              <w:textAlignment w:val="center"/>
            </w:pPr>
          </w:p>
        </w:tc>
      </w:tr>
      <w:tr>
        <w:tblPrEx>
          <w:tblLayout w:type="fixed"/>
          <w:tblCellMar>
            <w:top w:w="0" w:type="dxa"/>
            <w:left w:w="108" w:type="dxa"/>
            <w:bottom w:w="0" w:type="dxa"/>
            <w:right w:w="108" w:type="dxa"/>
          </w:tblCellMar>
        </w:tblPrEx>
        <w:trPr>
          <w:trHeight w:val="300" w:hRule="atLeast"/>
        </w:trPr>
        <w:tc>
          <w:tcPr>
            <w:tcW w:w="3828" w:type="dxa"/>
            <w:tcBorders>
              <w:top w:val="nil"/>
              <w:left w:val="nil"/>
              <w:bottom w:val="nil"/>
              <w:right w:val="single" w:color="auto" w:sz="8" w:space="0"/>
            </w:tcBorders>
            <w:vAlign w:val="center"/>
          </w:tcPr>
          <w:p>
            <w:pPr>
              <w:widowControl/>
              <w:ind w:firstLine="480" w:firstLineChars="200"/>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其中：涉外及港澳台</w:t>
            </w:r>
          </w:p>
        </w:tc>
        <w:tc>
          <w:tcPr>
            <w:tcW w:w="992" w:type="dxa"/>
            <w:tcBorders>
              <w:top w:val="nil"/>
              <w:left w:val="nil"/>
              <w:bottom w:val="nil"/>
              <w:right w:val="single" w:color="auto" w:sz="8" w:space="0"/>
            </w:tcBorders>
            <w:vAlign w:val="center"/>
          </w:tcPr>
          <w:p>
            <w:pPr>
              <w:widowControl/>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对</w:t>
            </w:r>
          </w:p>
        </w:tc>
        <w:tc>
          <w:tcPr>
            <w:tcW w:w="2126" w:type="dxa"/>
            <w:tcBorders>
              <w:top w:val="nil"/>
              <w:left w:val="single" w:color="auto" w:sz="4" w:space="0"/>
            </w:tcBorders>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eastAsia" w:ascii="Arial" w:hAnsi="Arial" w:eastAsia="宋体" w:cs="Arial"/>
                <w:i w:val="0"/>
                <w:color w:val="000000"/>
                <w:kern w:val="0"/>
                <w:sz w:val="20"/>
                <w:szCs w:val="20"/>
                <w:u w:val="none"/>
                <w:lang w:val="en-US" w:eastAsia="zh-CN" w:bidi="ar"/>
              </w:rPr>
              <w:t>109</w:t>
            </w:r>
          </w:p>
        </w:tc>
        <w:tc>
          <w:tcPr>
            <w:tcW w:w="1985" w:type="dxa"/>
            <w:tcBorders>
              <w:top w:val="nil"/>
            </w:tcBorders>
            <w:shd w:val="clear" w:color="auto" w:fill="auto"/>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-25.34 </w:t>
            </w:r>
          </w:p>
        </w:tc>
        <w:tc>
          <w:tcPr>
            <w:tcW w:w="2232" w:type="dxa"/>
            <w:vAlign w:val="center"/>
          </w:tcPr>
          <w:p>
            <w:pPr>
              <w:keepNext w:val="0"/>
              <w:keepLines w:val="0"/>
              <w:widowControl/>
              <w:suppressLineNumbers w:val="0"/>
              <w:jc w:val="center"/>
              <w:textAlignment w:val="center"/>
            </w:pPr>
          </w:p>
        </w:tc>
      </w:tr>
      <w:tr>
        <w:tblPrEx>
          <w:tblLayout w:type="fixed"/>
          <w:tblCellMar>
            <w:top w:w="0" w:type="dxa"/>
            <w:left w:w="108" w:type="dxa"/>
            <w:bottom w:w="0" w:type="dxa"/>
            <w:right w:w="108" w:type="dxa"/>
          </w:tblCellMar>
        </w:tblPrEx>
        <w:trPr>
          <w:trHeight w:val="300" w:hRule="atLeast"/>
        </w:trPr>
        <w:tc>
          <w:tcPr>
            <w:tcW w:w="3828" w:type="dxa"/>
            <w:tcBorders>
              <w:top w:val="nil"/>
              <w:left w:val="nil"/>
              <w:bottom w:val="nil"/>
              <w:right w:val="single" w:color="auto" w:sz="8" w:space="0"/>
            </w:tcBorders>
            <w:vAlign w:val="center"/>
          </w:tcPr>
          <w:p>
            <w:pPr>
              <w:widowControl/>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 xml:space="preserve">  离婚登记</w:t>
            </w:r>
          </w:p>
        </w:tc>
        <w:tc>
          <w:tcPr>
            <w:tcW w:w="992" w:type="dxa"/>
            <w:tcBorders>
              <w:top w:val="nil"/>
              <w:left w:val="nil"/>
              <w:bottom w:val="nil"/>
              <w:right w:val="single" w:color="auto" w:sz="8" w:space="0"/>
            </w:tcBorders>
            <w:vAlign w:val="center"/>
          </w:tcPr>
          <w:p>
            <w:pPr>
              <w:widowControl/>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eastAsia="zh-CN"/>
              </w:rPr>
              <w:t>万</w:t>
            </w:r>
            <w:r>
              <w:rPr>
                <w:rFonts w:hint="eastAsia" w:ascii="仿宋_GB2312" w:hAnsi="仿宋_GB2312" w:eastAsia="仿宋_GB2312" w:cs="仿宋_GB2312"/>
                <w:color w:val="000000"/>
                <w:kern w:val="0"/>
                <w:sz w:val="24"/>
                <w:szCs w:val="24"/>
              </w:rPr>
              <w:t>对</w:t>
            </w:r>
          </w:p>
        </w:tc>
        <w:tc>
          <w:tcPr>
            <w:tcW w:w="2126" w:type="dxa"/>
            <w:tcBorders>
              <w:top w:val="nil"/>
              <w:left w:val="single" w:color="auto" w:sz="4" w:space="0"/>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5.52</w:t>
            </w:r>
          </w:p>
        </w:tc>
        <w:tc>
          <w:tcPr>
            <w:tcW w:w="1985" w:type="dxa"/>
            <w:tcBorders>
              <w:top w:val="nil"/>
            </w:tcBorders>
            <w:shd w:val="clear" w:color="auto" w:fill="auto"/>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-43.99 </w:t>
            </w:r>
          </w:p>
        </w:tc>
        <w:tc>
          <w:tcPr>
            <w:tcW w:w="2232" w:type="dxa"/>
            <w:vAlign w:val="center"/>
          </w:tcPr>
          <w:p>
            <w:pPr>
              <w:keepNext w:val="0"/>
              <w:keepLines w:val="0"/>
              <w:widowControl/>
              <w:suppressLineNumbers w:val="0"/>
              <w:jc w:val="center"/>
              <w:textAlignment w:val="center"/>
            </w:pPr>
          </w:p>
        </w:tc>
      </w:tr>
      <w:tr>
        <w:tblPrEx>
          <w:tblLayout w:type="fixed"/>
          <w:tblCellMar>
            <w:top w:w="0" w:type="dxa"/>
            <w:left w:w="108" w:type="dxa"/>
            <w:bottom w:w="0" w:type="dxa"/>
            <w:right w:w="108" w:type="dxa"/>
          </w:tblCellMar>
        </w:tblPrEx>
        <w:trPr>
          <w:trHeight w:val="315" w:hRule="atLeast"/>
        </w:trPr>
        <w:tc>
          <w:tcPr>
            <w:tcW w:w="3828" w:type="dxa"/>
            <w:tcBorders>
              <w:top w:val="nil"/>
              <w:left w:val="nil"/>
              <w:bottom w:val="single" w:color="auto" w:sz="8" w:space="0"/>
              <w:right w:val="single" w:color="auto" w:sz="8" w:space="0"/>
            </w:tcBorders>
            <w:vAlign w:val="center"/>
          </w:tcPr>
          <w:p>
            <w:pPr>
              <w:widowControl/>
              <w:jc w:val="left"/>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 xml:space="preserve">  火化遗体数</w:t>
            </w:r>
          </w:p>
        </w:tc>
        <w:tc>
          <w:tcPr>
            <w:tcW w:w="992" w:type="dxa"/>
            <w:tcBorders>
              <w:top w:val="nil"/>
              <w:left w:val="nil"/>
              <w:bottom w:val="single" w:color="auto" w:sz="8" w:space="0"/>
              <w:right w:val="single" w:color="auto" w:sz="8" w:space="0"/>
            </w:tcBorders>
            <w:vAlign w:val="center"/>
          </w:tcPr>
          <w:p>
            <w:pPr>
              <w:widowControl/>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eastAsia="zh-CN"/>
              </w:rPr>
              <w:t>万</w:t>
            </w:r>
            <w:r>
              <w:rPr>
                <w:rFonts w:hint="eastAsia" w:ascii="仿宋_GB2312" w:hAnsi="仿宋_GB2312" w:eastAsia="仿宋_GB2312" w:cs="仿宋_GB2312"/>
                <w:color w:val="000000"/>
                <w:kern w:val="0"/>
                <w:sz w:val="24"/>
                <w:szCs w:val="24"/>
              </w:rPr>
              <w:t>具</w:t>
            </w:r>
          </w:p>
        </w:tc>
        <w:tc>
          <w:tcPr>
            <w:tcW w:w="2126" w:type="dxa"/>
            <w:tcBorders>
              <w:top w:val="nil"/>
              <w:left w:val="single" w:color="auto" w:sz="4" w:space="0"/>
              <w:bottom w:val="single" w:color="auto" w:sz="4" w:space="0"/>
            </w:tcBorders>
            <w:vAlign w:val="bottom"/>
          </w:tcPr>
          <w:p>
            <w:pPr>
              <w:keepNext w:val="0"/>
              <w:keepLines w:val="0"/>
              <w:widowControl/>
              <w:suppressLineNumbers w:val="0"/>
              <w:jc w:val="center"/>
              <w:textAlignment w:val="bottom"/>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8.89</w:t>
            </w:r>
          </w:p>
        </w:tc>
        <w:tc>
          <w:tcPr>
            <w:tcW w:w="1985" w:type="dxa"/>
            <w:tcBorders>
              <w:top w:val="nil"/>
              <w:bottom w:val="single" w:color="auto" w:sz="4" w:space="0"/>
            </w:tcBorders>
            <w:shd w:val="clear" w:color="auto" w:fill="auto"/>
            <w:vAlign w:val="center"/>
          </w:tcPr>
          <w:p>
            <w:pPr>
              <w:keepNext w:val="0"/>
              <w:keepLines w:val="0"/>
              <w:widowControl/>
              <w:suppressLineNumbers w:val="0"/>
              <w:jc w:val="center"/>
              <w:textAlignment w:val="center"/>
              <w:rPr>
                <w:rFonts w:hint="default" w:ascii="仿宋_GB2312" w:hAnsi="仿宋_GB2312" w:eastAsia="仿宋_GB2312" w:cs="仿宋_GB2312"/>
                <w:color w:val="000000"/>
                <w:sz w:val="24"/>
                <w:szCs w:val="24"/>
                <w:lang w:val="en-US" w:eastAsia="zh-CN"/>
              </w:rPr>
            </w:pPr>
            <w:r>
              <w:rPr>
                <w:rFonts w:hint="default" w:ascii="Arial" w:hAnsi="Arial" w:eastAsia="宋体" w:cs="Arial"/>
                <w:i w:val="0"/>
                <w:color w:val="000000"/>
                <w:kern w:val="0"/>
                <w:sz w:val="20"/>
                <w:szCs w:val="20"/>
                <w:u w:val="none"/>
                <w:lang w:val="en-US" w:eastAsia="zh-CN" w:bidi="ar"/>
              </w:rPr>
              <w:t xml:space="preserve">1.32 </w:t>
            </w:r>
          </w:p>
        </w:tc>
        <w:tc>
          <w:tcPr>
            <w:tcW w:w="2232" w:type="dxa"/>
            <w:vAlign w:val="center"/>
          </w:tcPr>
          <w:p>
            <w:pPr>
              <w:keepNext w:val="0"/>
              <w:keepLines w:val="0"/>
              <w:widowControl/>
              <w:suppressLineNumbers w:val="0"/>
              <w:jc w:val="center"/>
              <w:textAlignment w:val="center"/>
            </w:pPr>
          </w:p>
        </w:tc>
      </w:tr>
    </w:tbl>
    <w:p>
      <w:pPr>
        <w:ind w:right="359" w:rightChars="171"/>
        <w:rPr>
          <w:rFonts w:hint="eastAsia" w:ascii="仿宋_GB2312" w:eastAsia="仿宋_GB2312"/>
          <w:sz w:val="24"/>
        </w:rPr>
      </w:pPr>
    </w:p>
    <w:p>
      <w:pPr>
        <w:ind w:left="-359" w:leftChars="-171" w:right="359" w:rightChars="171" w:firstLine="480" w:firstLineChars="200"/>
        <w:jc w:val="left"/>
        <w:rPr>
          <w:rFonts w:hint="eastAsia" w:ascii="仿宋_GB2312" w:eastAsia="仿宋_GB2312"/>
          <w:sz w:val="24"/>
        </w:rPr>
      </w:pPr>
      <w:r>
        <w:rPr>
          <w:rFonts w:hint="eastAsia" w:ascii="仿宋_GB2312" w:eastAsia="仿宋_GB2312"/>
          <w:sz w:val="24"/>
        </w:rPr>
        <w:t>20</w:t>
      </w:r>
      <w:r>
        <w:rPr>
          <w:rFonts w:hint="eastAsia" w:ascii="仿宋_GB2312" w:eastAsia="仿宋_GB2312"/>
          <w:sz w:val="24"/>
          <w:lang w:val="en-US" w:eastAsia="zh-CN"/>
        </w:rPr>
        <w:t>21</w:t>
      </w:r>
      <w:r>
        <w:rPr>
          <w:rFonts w:hint="eastAsia" w:ascii="仿宋_GB2312" w:eastAsia="仿宋_GB2312"/>
          <w:sz w:val="24"/>
        </w:rPr>
        <w:t>年1-</w:t>
      </w:r>
      <w:r>
        <w:rPr>
          <w:rFonts w:hint="eastAsia" w:ascii="仿宋_GB2312" w:eastAsia="仿宋_GB2312"/>
          <w:sz w:val="24"/>
          <w:lang w:val="en-US" w:eastAsia="zh-CN"/>
        </w:rPr>
        <w:t>9</w:t>
      </w:r>
      <w:r>
        <w:rPr>
          <w:rFonts w:hint="eastAsia" w:ascii="仿宋_GB2312" w:eastAsia="仿宋_GB2312"/>
          <w:sz w:val="24"/>
        </w:rPr>
        <w:t>月，全</w:t>
      </w:r>
      <w:r>
        <w:rPr>
          <w:rFonts w:hint="eastAsia" w:ascii="仿宋_GB2312" w:eastAsia="仿宋_GB2312"/>
          <w:sz w:val="24"/>
          <w:lang w:eastAsia="zh-CN"/>
        </w:rPr>
        <w:t>省</w:t>
      </w:r>
      <w:r>
        <w:rPr>
          <w:rFonts w:hint="eastAsia" w:ascii="仿宋_GB2312" w:eastAsia="仿宋_GB2312"/>
          <w:sz w:val="24"/>
        </w:rPr>
        <w:t>结婚登记</w:t>
      </w:r>
      <w:r>
        <w:rPr>
          <w:rFonts w:hint="eastAsia" w:ascii="仿宋_GB2312" w:eastAsia="仿宋_GB2312"/>
          <w:sz w:val="24"/>
          <w:lang w:val="en-US" w:eastAsia="zh-CN"/>
        </w:rPr>
        <w:t>22.78万</w:t>
      </w:r>
      <w:r>
        <w:rPr>
          <w:rFonts w:hint="eastAsia" w:ascii="仿宋_GB2312" w:eastAsia="仿宋_GB2312"/>
          <w:sz w:val="24"/>
        </w:rPr>
        <w:t>对，比上年同期同比</w:t>
      </w:r>
      <w:r>
        <w:rPr>
          <w:rFonts w:hint="eastAsia" w:ascii="仿宋_GB2312" w:eastAsia="仿宋_GB2312"/>
          <w:sz w:val="24"/>
          <w:lang w:eastAsia="zh-CN"/>
        </w:rPr>
        <w:t>下降</w:t>
      </w:r>
      <w:r>
        <w:rPr>
          <w:rFonts w:hint="eastAsia" w:ascii="仿宋_GB2312" w:eastAsia="仿宋_GB2312"/>
          <w:sz w:val="24"/>
          <w:lang w:val="en-US" w:eastAsia="zh-CN"/>
        </w:rPr>
        <w:t>3.52</w:t>
      </w:r>
      <w:r>
        <w:rPr>
          <w:rFonts w:hint="eastAsia" w:ascii="仿宋_GB2312" w:eastAsia="仿宋_GB2312"/>
          <w:sz w:val="24"/>
        </w:rPr>
        <w:t>%；其中涉外及港澳台结婚登记</w:t>
      </w:r>
      <w:r>
        <w:rPr>
          <w:rFonts w:hint="eastAsia" w:ascii="仿宋_GB2312" w:eastAsia="仿宋_GB2312"/>
          <w:sz w:val="24"/>
          <w:lang w:val="en-US" w:eastAsia="zh-CN"/>
        </w:rPr>
        <w:t>109</w:t>
      </w:r>
      <w:r>
        <w:rPr>
          <w:rFonts w:hint="eastAsia" w:ascii="仿宋_GB2312" w:eastAsia="仿宋_GB2312"/>
          <w:sz w:val="24"/>
        </w:rPr>
        <w:t>对，比上年同期同比</w:t>
      </w:r>
      <w:r>
        <w:rPr>
          <w:rFonts w:hint="eastAsia" w:ascii="仿宋_GB2312" w:eastAsia="仿宋_GB2312"/>
          <w:sz w:val="24"/>
          <w:lang w:eastAsia="zh-CN"/>
        </w:rPr>
        <w:t>下降</w:t>
      </w:r>
      <w:r>
        <w:rPr>
          <w:rFonts w:hint="eastAsia" w:ascii="仿宋_GB2312" w:eastAsia="仿宋_GB2312"/>
          <w:sz w:val="24"/>
          <w:lang w:val="en-US" w:eastAsia="zh-CN"/>
        </w:rPr>
        <w:t>25.34</w:t>
      </w:r>
      <w:r>
        <w:rPr>
          <w:rFonts w:hint="eastAsia" w:ascii="仿宋_GB2312" w:eastAsia="仿宋_GB2312"/>
          <w:sz w:val="24"/>
        </w:rPr>
        <w:t>%；离婚登记</w:t>
      </w:r>
      <w:r>
        <w:rPr>
          <w:rFonts w:hint="eastAsia" w:ascii="仿宋_GB2312" w:eastAsia="仿宋_GB2312"/>
          <w:sz w:val="24"/>
          <w:lang w:val="en-US" w:eastAsia="zh-CN"/>
        </w:rPr>
        <w:t>5.52万</w:t>
      </w:r>
      <w:r>
        <w:rPr>
          <w:rFonts w:hint="eastAsia" w:ascii="仿宋_GB2312" w:eastAsia="仿宋_GB2312"/>
          <w:sz w:val="24"/>
        </w:rPr>
        <w:t>对，比上年同期同比</w:t>
      </w:r>
      <w:r>
        <w:rPr>
          <w:rFonts w:hint="eastAsia" w:ascii="仿宋_GB2312" w:eastAsia="仿宋_GB2312"/>
          <w:sz w:val="24"/>
          <w:lang w:eastAsia="zh-CN"/>
        </w:rPr>
        <w:t>下降</w:t>
      </w:r>
      <w:r>
        <w:rPr>
          <w:rFonts w:hint="eastAsia" w:ascii="仿宋_GB2312" w:eastAsia="仿宋_GB2312"/>
          <w:sz w:val="24"/>
          <w:lang w:val="en-US" w:eastAsia="zh-CN"/>
        </w:rPr>
        <w:t>43.99</w:t>
      </w:r>
      <w:r>
        <w:rPr>
          <w:rFonts w:hint="eastAsia" w:ascii="仿宋_GB2312" w:eastAsia="仿宋_GB2312"/>
          <w:sz w:val="24"/>
        </w:rPr>
        <w:t>%；火化遗体数</w:t>
      </w:r>
      <w:r>
        <w:rPr>
          <w:rFonts w:hint="eastAsia" w:ascii="仿宋_GB2312" w:eastAsia="仿宋_GB2312"/>
          <w:sz w:val="24"/>
          <w:lang w:val="en-US" w:eastAsia="zh-CN"/>
        </w:rPr>
        <w:t>8.89万</w:t>
      </w:r>
      <w:r>
        <w:rPr>
          <w:rFonts w:hint="eastAsia" w:ascii="仿宋_GB2312" w:eastAsia="仿宋_GB2312"/>
          <w:sz w:val="24"/>
        </w:rPr>
        <w:t>具，比上年同期同比</w:t>
      </w:r>
      <w:r>
        <w:rPr>
          <w:rFonts w:hint="eastAsia" w:ascii="仿宋_GB2312" w:eastAsia="仿宋_GB2312"/>
          <w:sz w:val="24"/>
          <w:lang w:eastAsia="zh-CN"/>
        </w:rPr>
        <w:t>增长</w:t>
      </w:r>
      <w:r>
        <w:rPr>
          <w:rFonts w:hint="eastAsia" w:ascii="仿宋_GB2312" w:eastAsia="仿宋_GB2312"/>
          <w:sz w:val="24"/>
          <w:lang w:val="en-US" w:eastAsia="zh-CN"/>
        </w:rPr>
        <w:t>1.32</w:t>
      </w:r>
      <w:r>
        <w:rPr>
          <w:rFonts w:ascii="仿宋_GB2312" w:eastAsia="仿宋_GB2312"/>
          <w:sz w:val="24"/>
        </w:rPr>
        <w:t>%</w:t>
      </w:r>
      <w:r>
        <w:rPr>
          <w:rFonts w:hint="eastAsia" w:ascii="仿宋_GB2312" w:eastAsia="仿宋_GB2312"/>
          <w:sz w:val="24"/>
        </w:rPr>
        <w:t>。</w:t>
      </w:r>
    </w:p>
    <w:p>
      <w:pPr>
        <w:ind w:left="-359" w:leftChars="-171" w:right="359" w:rightChars="171" w:firstLine="480" w:firstLineChars="200"/>
        <w:jc w:val="left"/>
        <w:rPr>
          <w:rFonts w:hint="eastAsia" w:ascii="仿宋_GB2312" w:eastAsia="仿宋_GB2312"/>
          <w:sz w:val="24"/>
        </w:rPr>
      </w:pPr>
    </w:p>
    <w:p>
      <w:pPr>
        <w:ind w:right="359" w:rightChars="171"/>
        <w:rPr>
          <w:rFonts w:hint="eastAsia" w:ascii="黑体" w:eastAsia="黑体"/>
          <w:sz w:val="30"/>
          <w:szCs w:val="30"/>
        </w:rPr>
      </w:pPr>
      <w:r>
        <w:rPr>
          <w:rFonts w:hint="eastAsia" w:eastAsia="黑体"/>
          <w:sz w:val="32"/>
          <w:szCs w:val="32"/>
          <w:lang w:eastAsia="zh-CN"/>
        </w:rPr>
        <w:t>四、</w:t>
      </w:r>
      <w:r>
        <w:rPr>
          <w:rFonts w:hint="eastAsia" w:ascii="黑体" w:eastAsia="黑体"/>
          <w:sz w:val="30"/>
          <w:szCs w:val="30"/>
        </w:rPr>
        <w:t>社会服务事业费支出</w:t>
      </w:r>
    </w:p>
    <w:tbl>
      <w:tblPr>
        <w:tblStyle w:val="6"/>
        <w:tblpPr w:leftFromText="180" w:rightFromText="180" w:vertAnchor="text" w:horzAnchor="margin" w:tblpXSpec="center" w:tblpY="158"/>
        <w:tblW w:w="2946" w:type="dxa"/>
        <w:tblInd w:w="0" w:type="dxa"/>
        <w:tblLayout w:type="fixed"/>
        <w:tblCellMar>
          <w:top w:w="0" w:type="dxa"/>
          <w:left w:w="108" w:type="dxa"/>
          <w:bottom w:w="0" w:type="dxa"/>
          <w:right w:w="108" w:type="dxa"/>
        </w:tblCellMar>
      </w:tblPr>
      <w:tblGrid>
        <w:gridCol w:w="688"/>
        <w:gridCol w:w="667"/>
        <w:gridCol w:w="1591"/>
      </w:tblGrid>
      <w:tr>
        <w:tblPrEx>
          <w:tblLayout w:type="fixed"/>
          <w:tblCellMar>
            <w:top w:w="0" w:type="dxa"/>
            <w:left w:w="108" w:type="dxa"/>
            <w:bottom w:w="0" w:type="dxa"/>
            <w:right w:w="108" w:type="dxa"/>
          </w:tblCellMar>
        </w:tblPrEx>
        <w:trPr>
          <w:trHeight w:val="285" w:hRule="atLeast"/>
        </w:trPr>
        <w:tc>
          <w:tcPr>
            <w:tcW w:w="688" w:type="dxa"/>
            <w:tcBorders>
              <w:top w:val="nil"/>
              <w:left w:val="nil"/>
              <w:bottom w:val="nil"/>
              <w:right w:val="nil"/>
            </w:tcBorders>
            <w:shd w:val="clear" w:color="auto" w:fill="auto"/>
            <w:vAlign w:val="center"/>
          </w:tcPr>
          <w:p>
            <w:pPr>
              <w:widowControl/>
              <w:jc w:val="center"/>
              <w:rPr>
                <w:kern w:val="0"/>
                <w:sz w:val="24"/>
              </w:rPr>
            </w:pPr>
          </w:p>
        </w:tc>
        <w:tc>
          <w:tcPr>
            <w:tcW w:w="667" w:type="dxa"/>
            <w:tcBorders>
              <w:top w:val="nil"/>
              <w:left w:val="nil"/>
              <w:bottom w:val="nil"/>
              <w:right w:val="nil"/>
            </w:tcBorders>
            <w:shd w:val="clear" w:color="auto" w:fill="auto"/>
            <w:vAlign w:val="center"/>
          </w:tcPr>
          <w:p>
            <w:pPr>
              <w:widowControl/>
              <w:jc w:val="center"/>
              <w:rPr>
                <w:kern w:val="0"/>
                <w:sz w:val="24"/>
              </w:rPr>
            </w:pPr>
          </w:p>
        </w:tc>
        <w:tc>
          <w:tcPr>
            <w:tcW w:w="1591" w:type="dxa"/>
            <w:tcBorders>
              <w:top w:val="nil"/>
              <w:left w:val="nil"/>
              <w:bottom w:val="single" w:color="auto" w:sz="4" w:space="0"/>
              <w:right w:val="nil"/>
            </w:tcBorders>
            <w:shd w:val="clear" w:color="auto" w:fill="auto"/>
            <w:vAlign w:val="center"/>
          </w:tcPr>
          <w:p>
            <w:pPr>
              <w:widowControl/>
              <w:jc w:val="center"/>
              <w:rPr>
                <w:kern w:val="0"/>
                <w:sz w:val="24"/>
              </w:rPr>
            </w:pPr>
          </w:p>
        </w:tc>
      </w:tr>
      <w:tr>
        <w:tblPrEx>
          <w:tblLayout w:type="fixed"/>
          <w:tblCellMar>
            <w:top w:w="0" w:type="dxa"/>
            <w:left w:w="108" w:type="dxa"/>
            <w:bottom w:w="0" w:type="dxa"/>
            <w:right w:w="108" w:type="dxa"/>
          </w:tblCellMar>
        </w:tblPrEx>
        <w:trPr>
          <w:trHeight w:val="315" w:hRule="atLeast"/>
        </w:trPr>
        <w:tc>
          <w:tcPr>
            <w:tcW w:w="1355" w:type="dxa"/>
            <w:gridSpan w:val="2"/>
            <w:vMerge w:val="restart"/>
            <w:tcBorders>
              <w:top w:val="single" w:color="auto" w:sz="4" w:space="0"/>
              <w:left w:val="nil"/>
              <w:bottom w:val="nil"/>
              <w:right w:val="single" w:color="000000" w:sz="4" w:space="0"/>
            </w:tcBorders>
            <w:shd w:val="clear" w:color="auto" w:fill="auto"/>
            <w:vAlign w:val="center"/>
          </w:tcPr>
          <w:p>
            <w:pPr>
              <w:widowControl/>
              <w:jc w:val="center"/>
              <w:rPr>
                <w:kern w:val="0"/>
                <w:sz w:val="20"/>
                <w:szCs w:val="20"/>
              </w:rPr>
            </w:pPr>
            <w:r>
              <w:rPr>
                <w:kern w:val="0"/>
                <w:sz w:val="20"/>
                <w:szCs w:val="20"/>
              </w:rPr>
              <w:t>年/月</w:t>
            </w:r>
          </w:p>
        </w:tc>
        <w:tc>
          <w:tcPr>
            <w:tcW w:w="1591" w:type="dxa"/>
            <w:vMerge w:val="restart"/>
            <w:tcBorders>
              <w:top w:val="nil"/>
              <w:left w:val="nil"/>
              <w:bottom w:val="nil"/>
              <w:right w:val="nil"/>
            </w:tcBorders>
            <w:shd w:val="clear" w:color="auto" w:fill="auto"/>
            <w:vAlign w:val="center"/>
          </w:tcPr>
          <w:p>
            <w:pPr>
              <w:widowControl/>
              <w:jc w:val="center"/>
              <w:rPr>
                <w:kern w:val="0"/>
                <w:sz w:val="20"/>
                <w:szCs w:val="20"/>
              </w:rPr>
            </w:pPr>
            <w:r>
              <w:rPr>
                <w:rFonts w:hint="eastAsia"/>
                <w:kern w:val="0"/>
                <w:sz w:val="20"/>
                <w:szCs w:val="20"/>
              </w:rPr>
              <w:t>社会服务事业费</w:t>
            </w:r>
            <w:r>
              <w:rPr>
                <w:kern w:val="0"/>
                <w:sz w:val="20"/>
                <w:szCs w:val="20"/>
              </w:rPr>
              <w:t>支出</w:t>
            </w:r>
            <w:r>
              <w:rPr>
                <w:rFonts w:hint="eastAsia"/>
                <w:kern w:val="0"/>
                <w:sz w:val="20"/>
                <w:szCs w:val="20"/>
              </w:rPr>
              <w:t>合计</w:t>
            </w:r>
          </w:p>
        </w:tc>
      </w:tr>
      <w:tr>
        <w:tblPrEx>
          <w:tblLayout w:type="fixed"/>
          <w:tblCellMar>
            <w:top w:w="0" w:type="dxa"/>
            <w:left w:w="108" w:type="dxa"/>
            <w:bottom w:w="0" w:type="dxa"/>
            <w:right w:w="108" w:type="dxa"/>
          </w:tblCellMar>
        </w:tblPrEx>
        <w:trPr>
          <w:trHeight w:val="555" w:hRule="atLeast"/>
        </w:trPr>
        <w:tc>
          <w:tcPr>
            <w:tcW w:w="1355" w:type="dxa"/>
            <w:gridSpan w:val="2"/>
            <w:vMerge w:val="continue"/>
            <w:tcBorders>
              <w:top w:val="single" w:color="auto" w:sz="4" w:space="0"/>
              <w:left w:val="nil"/>
              <w:bottom w:val="nil"/>
              <w:right w:val="single" w:color="000000" w:sz="4" w:space="0"/>
            </w:tcBorders>
            <w:shd w:val="clear" w:color="auto" w:fill="auto"/>
            <w:vAlign w:val="center"/>
          </w:tcPr>
          <w:p>
            <w:pPr>
              <w:widowControl/>
              <w:jc w:val="center"/>
              <w:rPr>
                <w:kern w:val="0"/>
                <w:sz w:val="20"/>
                <w:szCs w:val="20"/>
              </w:rPr>
            </w:pPr>
          </w:p>
        </w:tc>
        <w:tc>
          <w:tcPr>
            <w:tcW w:w="1591" w:type="dxa"/>
            <w:vMerge w:val="continue"/>
            <w:tcBorders>
              <w:top w:val="nil"/>
              <w:left w:val="nil"/>
              <w:bottom w:val="nil"/>
              <w:right w:val="nil"/>
            </w:tcBorders>
            <w:shd w:val="clear" w:color="auto" w:fill="auto"/>
            <w:vAlign w:val="center"/>
          </w:tcPr>
          <w:p>
            <w:pPr>
              <w:widowControl/>
              <w:jc w:val="center"/>
              <w:rPr>
                <w:kern w:val="0"/>
                <w:sz w:val="20"/>
                <w:szCs w:val="20"/>
              </w:rPr>
            </w:pPr>
          </w:p>
        </w:tc>
      </w:tr>
      <w:tr>
        <w:tblPrEx>
          <w:tblLayout w:type="fixed"/>
          <w:tblCellMar>
            <w:top w:w="0" w:type="dxa"/>
            <w:left w:w="108" w:type="dxa"/>
            <w:bottom w:w="0" w:type="dxa"/>
            <w:right w:w="108" w:type="dxa"/>
          </w:tblCellMar>
        </w:tblPrEx>
        <w:trPr>
          <w:trHeight w:val="435" w:hRule="atLeast"/>
        </w:trPr>
        <w:tc>
          <w:tcPr>
            <w:tcW w:w="688" w:type="dxa"/>
            <w:tcBorders>
              <w:top w:val="nil"/>
              <w:left w:val="nil"/>
              <w:bottom w:val="single" w:color="auto" w:sz="4" w:space="0"/>
              <w:right w:val="nil"/>
            </w:tcBorders>
            <w:shd w:val="clear" w:color="auto" w:fill="auto"/>
            <w:vAlign w:val="center"/>
          </w:tcPr>
          <w:p>
            <w:pPr>
              <w:widowControl/>
              <w:jc w:val="center"/>
              <w:rPr>
                <w:kern w:val="0"/>
                <w:sz w:val="20"/>
                <w:szCs w:val="20"/>
              </w:rPr>
            </w:pPr>
          </w:p>
        </w:tc>
        <w:tc>
          <w:tcPr>
            <w:tcW w:w="667" w:type="dxa"/>
            <w:tcBorders>
              <w:top w:val="nil"/>
              <w:left w:val="nil"/>
              <w:bottom w:val="single" w:color="auto" w:sz="4" w:space="0"/>
              <w:right w:val="single" w:color="auto" w:sz="4" w:space="0"/>
            </w:tcBorders>
            <w:shd w:val="clear" w:color="auto" w:fill="auto"/>
            <w:vAlign w:val="center"/>
          </w:tcPr>
          <w:p>
            <w:pPr>
              <w:widowControl/>
              <w:jc w:val="center"/>
              <w:rPr>
                <w:kern w:val="0"/>
                <w:sz w:val="20"/>
                <w:szCs w:val="20"/>
              </w:rPr>
            </w:pPr>
          </w:p>
        </w:tc>
        <w:tc>
          <w:tcPr>
            <w:tcW w:w="1591" w:type="dxa"/>
            <w:tcBorders>
              <w:top w:val="nil"/>
              <w:left w:val="nil"/>
              <w:bottom w:val="single" w:color="auto" w:sz="4" w:space="0"/>
              <w:right w:val="nil"/>
            </w:tcBorders>
            <w:shd w:val="clear" w:color="auto" w:fill="auto"/>
            <w:vAlign w:val="center"/>
          </w:tcPr>
          <w:p>
            <w:pPr>
              <w:widowControl/>
              <w:jc w:val="center"/>
              <w:rPr>
                <w:kern w:val="0"/>
                <w:sz w:val="18"/>
                <w:szCs w:val="18"/>
              </w:rPr>
            </w:pPr>
            <w:r>
              <w:rPr>
                <w:kern w:val="0"/>
                <w:sz w:val="18"/>
                <w:szCs w:val="18"/>
              </w:rPr>
              <w:t>（亿元）</w:t>
            </w:r>
          </w:p>
        </w:tc>
      </w:tr>
      <w:tr>
        <w:tblPrEx>
          <w:tblLayout w:type="fixed"/>
          <w:tblCellMar>
            <w:top w:w="0" w:type="dxa"/>
            <w:left w:w="108" w:type="dxa"/>
            <w:bottom w:w="0" w:type="dxa"/>
            <w:right w:w="108" w:type="dxa"/>
          </w:tblCellMar>
        </w:tblPrEx>
        <w:trPr>
          <w:trHeight w:val="285" w:hRule="atLeast"/>
        </w:trPr>
        <w:tc>
          <w:tcPr>
            <w:tcW w:w="1355" w:type="dxa"/>
            <w:gridSpan w:val="2"/>
            <w:tcBorders>
              <w:top w:val="nil"/>
              <w:left w:val="nil"/>
              <w:bottom w:val="single" w:color="auto" w:sz="4" w:space="0"/>
              <w:right w:val="single" w:color="000000" w:sz="4" w:space="0"/>
            </w:tcBorders>
            <w:shd w:val="clear" w:color="auto" w:fill="auto"/>
            <w:vAlign w:val="center"/>
          </w:tcPr>
          <w:p>
            <w:pPr>
              <w:widowControl/>
              <w:jc w:val="center"/>
              <w:rPr>
                <w:kern w:val="0"/>
                <w:sz w:val="20"/>
                <w:szCs w:val="20"/>
              </w:rPr>
            </w:pPr>
            <w:r>
              <w:rPr>
                <w:rFonts w:hint="eastAsia"/>
                <w:kern w:val="0"/>
                <w:sz w:val="20"/>
                <w:szCs w:val="20"/>
              </w:rPr>
              <w:t>甲</w:t>
            </w:r>
          </w:p>
        </w:tc>
        <w:tc>
          <w:tcPr>
            <w:tcW w:w="1591" w:type="dxa"/>
            <w:tcBorders>
              <w:top w:val="nil"/>
              <w:left w:val="nil"/>
              <w:bottom w:val="single" w:color="auto" w:sz="4" w:space="0"/>
              <w:right w:val="nil"/>
            </w:tcBorders>
            <w:shd w:val="clear" w:color="auto" w:fill="auto"/>
            <w:vAlign w:val="center"/>
          </w:tcPr>
          <w:p>
            <w:pPr>
              <w:widowControl/>
              <w:jc w:val="center"/>
              <w:rPr>
                <w:kern w:val="0"/>
                <w:sz w:val="20"/>
                <w:szCs w:val="20"/>
              </w:rPr>
            </w:pPr>
            <w:r>
              <w:rPr>
                <w:rFonts w:hint="eastAsia"/>
                <w:kern w:val="0"/>
                <w:sz w:val="20"/>
                <w:szCs w:val="20"/>
              </w:rPr>
              <w:t>1</w:t>
            </w:r>
          </w:p>
        </w:tc>
      </w:tr>
      <w:tr>
        <w:tblPrEx>
          <w:tblLayout w:type="fixed"/>
          <w:tblCellMar>
            <w:top w:w="0" w:type="dxa"/>
            <w:left w:w="108" w:type="dxa"/>
            <w:bottom w:w="0" w:type="dxa"/>
            <w:right w:w="108" w:type="dxa"/>
          </w:tblCellMar>
        </w:tblPrEx>
        <w:trPr>
          <w:trHeight w:val="183" w:hRule="atLeast"/>
        </w:trPr>
        <w:tc>
          <w:tcPr>
            <w:tcW w:w="688" w:type="dxa"/>
            <w:tcBorders>
              <w:top w:val="nil"/>
              <w:left w:val="nil"/>
              <w:bottom w:val="nil"/>
              <w:right w:val="nil"/>
            </w:tcBorders>
            <w:shd w:val="clear" w:color="auto" w:fill="auto"/>
            <w:vAlign w:val="center"/>
          </w:tcPr>
          <w:p>
            <w:pPr>
              <w:widowControl/>
              <w:jc w:val="center"/>
              <w:rPr>
                <w:kern w:val="0"/>
                <w:sz w:val="20"/>
                <w:szCs w:val="20"/>
              </w:rPr>
            </w:pPr>
          </w:p>
        </w:tc>
        <w:tc>
          <w:tcPr>
            <w:tcW w:w="667" w:type="dxa"/>
            <w:tcBorders>
              <w:top w:val="nil"/>
              <w:left w:val="nil"/>
              <w:bottom w:val="nil"/>
              <w:right w:val="single" w:color="auto" w:sz="4" w:space="0"/>
            </w:tcBorders>
            <w:shd w:val="clear" w:color="auto" w:fill="auto"/>
            <w:vAlign w:val="center"/>
          </w:tcPr>
          <w:p>
            <w:pPr>
              <w:widowControl/>
              <w:jc w:val="right"/>
              <w:rPr>
                <w:kern w:val="0"/>
                <w:sz w:val="20"/>
                <w:szCs w:val="20"/>
              </w:rPr>
            </w:pPr>
          </w:p>
        </w:tc>
        <w:tc>
          <w:tcPr>
            <w:tcW w:w="1591" w:type="dxa"/>
            <w:tcBorders>
              <w:top w:val="nil"/>
              <w:left w:val="nil"/>
              <w:bottom w:val="nil"/>
              <w:right w:val="nil"/>
            </w:tcBorders>
            <w:shd w:val="clear" w:color="auto" w:fill="auto"/>
            <w:vAlign w:val="center"/>
          </w:tcPr>
          <w:p>
            <w:pPr>
              <w:widowControl/>
              <w:jc w:val="center"/>
              <w:rPr>
                <w:kern w:val="0"/>
                <w:sz w:val="20"/>
                <w:szCs w:val="20"/>
              </w:rPr>
            </w:pPr>
          </w:p>
        </w:tc>
      </w:tr>
      <w:tr>
        <w:tblPrEx>
          <w:tblLayout w:type="fixed"/>
          <w:tblCellMar>
            <w:top w:w="0" w:type="dxa"/>
            <w:left w:w="108" w:type="dxa"/>
            <w:bottom w:w="0" w:type="dxa"/>
            <w:right w:w="108" w:type="dxa"/>
          </w:tblCellMar>
        </w:tblPrEx>
        <w:trPr>
          <w:trHeight w:val="520" w:hRule="atLeast"/>
        </w:trPr>
        <w:tc>
          <w:tcPr>
            <w:tcW w:w="688" w:type="dxa"/>
            <w:tcBorders>
              <w:left w:val="nil"/>
              <w:right w:val="nil"/>
            </w:tcBorders>
            <w:shd w:val="clear" w:color="auto" w:fill="auto"/>
            <w:vAlign w:val="center"/>
          </w:tcPr>
          <w:p>
            <w:pPr>
              <w:widowControl/>
              <w:jc w:val="left"/>
              <w:rPr>
                <w:kern w:val="0"/>
                <w:sz w:val="20"/>
                <w:szCs w:val="20"/>
              </w:rPr>
            </w:pPr>
            <w:r>
              <w:rPr>
                <w:rFonts w:hint="eastAsia"/>
                <w:kern w:val="0"/>
                <w:sz w:val="20"/>
                <w:szCs w:val="20"/>
              </w:rPr>
              <w:t>20</w:t>
            </w:r>
            <w:r>
              <w:rPr>
                <w:rFonts w:hint="eastAsia"/>
                <w:kern w:val="0"/>
                <w:sz w:val="20"/>
                <w:szCs w:val="20"/>
                <w:lang w:val="en-US" w:eastAsia="zh-CN"/>
              </w:rPr>
              <w:t>20</w:t>
            </w:r>
          </w:p>
        </w:tc>
        <w:tc>
          <w:tcPr>
            <w:tcW w:w="667" w:type="dxa"/>
            <w:tcBorders>
              <w:left w:val="nil"/>
              <w:right w:val="single" w:color="auto" w:sz="8" w:space="0"/>
            </w:tcBorders>
            <w:shd w:val="clear" w:color="auto" w:fill="auto"/>
            <w:vAlign w:val="center"/>
          </w:tcPr>
          <w:p>
            <w:pPr>
              <w:jc w:val="right"/>
              <w:rPr>
                <w:kern w:val="0"/>
                <w:sz w:val="20"/>
                <w:szCs w:val="20"/>
              </w:rPr>
            </w:pPr>
            <w:r>
              <w:rPr>
                <w:rFonts w:hint="eastAsia" w:eastAsia="等线"/>
                <w:color w:val="000000"/>
                <w:sz w:val="20"/>
                <w:szCs w:val="20"/>
              </w:rPr>
              <w:t>12月</w:t>
            </w:r>
          </w:p>
        </w:tc>
        <w:tc>
          <w:tcPr>
            <w:tcW w:w="1591" w:type="dxa"/>
            <w:tcBorders>
              <w:left w:val="nil"/>
              <w:right w:val="nil"/>
            </w:tcBorders>
            <w:shd w:val="clear" w:color="auto" w:fill="auto"/>
            <w:vAlign w:val="center"/>
          </w:tcPr>
          <w:p>
            <w:pPr>
              <w:jc w:val="center"/>
              <w:rPr>
                <w:rFonts w:hint="eastAsia" w:eastAsia="宋体"/>
                <w:kern w:val="0"/>
                <w:sz w:val="20"/>
                <w:szCs w:val="20"/>
                <w:lang w:val="en-US" w:eastAsia="zh-CN"/>
              </w:rPr>
            </w:pPr>
            <w:r>
              <w:rPr>
                <w:rFonts w:hint="eastAsia" w:eastAsia="等线"/>
                <w:color w:val="000000"/>
                <w:sz w:val="20"/>
                <w:szCs w:val="20"/>
                <w:lang w:val="en-US" w:eastAsia="zh-CN"/>
              </w:rPr>
              <w:t>162.11</w:t>
            </w:r>
          </w:p>
        </w:tc>
      </w:tr>
      <w:tr>
        <w:tblPrEx>
          <w:tblLayout w:type="fixed"/>
          <w:tblCellMar>
            <w:top w:w="0" w:type="dxa"/>
            <w:left w:w="108" w:type="dxa"/>
            <w:bottom w:w="0" w:type="dxa"/>
            <w:right w:w="108" w:type="dxa"/>
          </w:tblCellMar>
        </w:tblPrEx>
        <w:trPr>
          <w:trHeight w:val="485" w:hRule="atLeast"/>
        </w:trPr>
        <w:tc>
          <w:tcPr>
            <w:tcW w:w="688" w:type="dxa"/>
            <w:tcBorders>
              <w:left w:val="nil"/>
              <w:right w:val="nil"/>
            </w:tcBorders>
            <w:shd w:val="clear" w:color="auto" w:fill="auto"/>
            <w:vAlign w:val="center"/>
          </w:tcPr>
          <w:p>
            <w:pPr>
              <w:widowControl/>
              <w:jc w:val="left"/>
              <w:rPr>
                <w:rFonts w:hint="eastAsia" w:eastAsiaTheme="minorEastAsia"/>
                <w:kern w:val="0"/>
                <w:sz w:val="20"/>
                <w:szCs w:val="20"/>
                <w:lang w:eastAsia="zh-CN"/>
              </w:rPr>
            </w:pPr>
            <w:r>
              <w:rPr>
                <w:rFonts w:hint="eastAsia"/>
                <w:kern w:val="0"/>
                <w:sz w:val="20"/>
                <w:szCs w:val="20"/>
                <w:lang w:val="en-US" w:eastAsia="zh-CN"/>
              </w:rPr>
              <w:t>2021</w:t>
            </w:r>
          </w:p>
        </w:tc>
        <w:tc>
          <w:tcPr>
            <w:tcW w:w="667" w:type="dxa"/>
            <w:tcBorders>
              <w:left w:val="nil"/>
              <w:right w:val="single" w:color="auto" w:sz="8" w:space="0"/>
            </w:tcBorders>
            <w:shd w:val="clear" w:color="auto" w:fill="auto"/>
            <w:vAlign w:val="center"/>
          </w:tcPr>
          <w:p>
            <w:pPr>
              <w:jc w:val="right"/>
              <w:rPr>
                <w:kern w:val="0"/>
                <w:sz w:val="20"/>
                <w:szCs w:val="20"/>
              </w:rPr>
            </w:pPr>
            <w:r>
              <w:rPr>
                <w:rFonts w:hint="eastAsia" w:eastAsia="等线"/>
                <w:color w:val="000000"/>
                <w:sz w:val="20"/>
                <w:szCs w:val="20"/>
              </w:rPr>
              <w:t>1月</w:t>
            </w:r>
          </w:p>
        </w:tc>
        <w:tc>
          <w:tcPr>
            <w:tcW w:w="1591" w:type="dxa"/>
            <w:tcBorders>
              <w:left w:val="nil"/>
              <w:right w:val="nil"/>
            </w:tcBorders>
            <w:shd w:val="clear" w:color="auto" w:fill="auto"/>
            <w:vAlign w:val="center"/>
          </w:tcPr>
          <w:p>
            <w:pPr>
              <w:jc w:val="center"/>
              <w:rPr>
                <w:rFonts w:hint="default" w:eastAsia="宋体"/>
                <w:kern w:val="0"/>
                <w:sz w:val="20"/>
                <w:szCs w:val="20"/>
                <w:lang w:val="en-US" w:eastAsia="zh-CN"/>
              </w:rPr>
            </w:pPr>
            <w:r>
              <w:rPr>
                <w:rFonts w:hint="eastAsia" w:eastAsia="宋体"/>
                <w:kern w:val="0"/>
                <w:sz w:val="20"/>
                <w:szCs w:val="20"/>
                <w:lang w:val="en-US" w:eastAsia="zh-CN"/>
              </w:rPr>
              <w:t>11.55</w:t>
            </w:r>
          </w:p>
        </w:tc>
      </w:tr>
      <w:tr>
        <w:tblPrEx>
          <w:tblLayout w:type="fixed"/>
          <w:tblCellMar>
            <w:top w:w="0" w:type="dxa"/>
            <w:left w:w="108" w:type="dxa"/>
            <w:bottom w:w="0" w:type="dxa"/>
            <w:right w:w="108" w:type="dxa"/>
          </w:tblCellMar>
        </w:tblPrEx>
        <w:trPr>
          <w:trHeight w:val="589" w:hRule="atLeast"/>
        </w:trPr>
        <w:tc>
          <w:tcPr>
            <w:tcW w:w="688" w:type="dxa"/>
            <w:tcBorders>
              <w:left w:val="nil"/>
              <w:right w:val="nil"/>
            </w:tcBorders>
            <w:shd w:val="clear" w:color="auto" w:fill="auto"/>
            <w:vAlign w:val="center"/>
          </w:tcPr>
          <w:p>
            <w:pPr>
              <w:widowControl/>
              <w:jc w:val="left"/>
              <w:rPr>
                <w:kern w:val="0"/>
                <w:sz w:val="20"/>
                <w:szCs w:val="20"/>
              </w:rPr>
            </w:pPr>
          </w:p>
        </w:tc>
        <w:tc>
          <w:tcPr>
            <w:tcW w:w="667" w:type="dxa"/>
            <w:tcBorders>
              <w:left w:val="nil"/>
              <w:right w:val="single" w:color="auto" w:sz="8" w:space="0"/>
            </w:tcBorders>
            <w:shd w:val="clear" w:color="auto" w:fill="auto"/>
            <w:vAlign w:val="center"/>
          </w:tcPr>
          <w:p>
            <w:pPr>
              <w:jc w:val="right"/>
              <w:rPr>
                <w:kern w:val="0"/>
                <w:sz w:val="20"/>
                <w:szCs w:val="20"/>
              </w:rPr>
            </w:pPr>
            <w:r>
              <w:rPr>
                <w:rFonts w:hint="eastAsia" w:eastAsia="等线"/>
                <w:color w:val="000000"/>
                <w:sz w:val="20"/>
                <w:szCs w:val="20"/>
              </w:rPr>
              <w:t>2月</w:t>
            </w:r>
          </w:p>
        </w:tc>
        <w:tc>
          <w:tcPr>
            <w:tcW w:w="1591" w:type="dxa"/>
            <w:tcBorders>
              <w:left w:val="nil"/>
              <w:right w:val="nil"/>
            </w:tcBorders>
            <w:shd w:val="clear" w:color="auto" w:fill="auto"/>
            <w:vAlign w:val="center"/>
          </w:tcPr>
          <w:p>
            <w:pPr>
              <w:jc w:val="center"/>
              <w:rPr>
                <w:rFonts w:hint="default" w:eastAsia="宋体"/>
                <w:kern w:val="0"/>
                <w:sz w:val="20"/>
                <w:szCs w:val="20"/>
                <w:lang w:val="en-US" w:eastAsia="zh-CN"/>
              </w:rPr>
            </w:pPr>
            <w:r>
              <w:rPr>
                <w:rFonts w:hint="eastAsia" w:eastAsia="宋体"/>
                <w:kern w:val="0"/>
                <w:sz w:val="20"/>
                <w:szCs w:val="20"/>
                <w:lang w:val="en-US" w:eastAsia="zh-CN"/>
              </w:rPr>
              <w:t>21.80</w:t>
            </w:r>
          </w:p>
        </w:tc>
      </w:tr>
      <w:tr>
        <w:tblPrEx>
          <w:tblLayout w:type="fixed"/>
          <w:tblCellMar>
            <w:top w:w="0" w:type="dxa"/>
            <w:left w:w="108" w:type="dxa"/>
            <w:bottom w:w="0" w:type="dxa"/>
            <w:right w:w="108" w:type="dxa"/>
          </w:tblCellMar>
        </w:tblPrEx>
        <w:trPr>
          <w:trHeight w:val="601" w:hRule="atLeast"/>
        </w:trPr>
        <w:tc>
          <w:tcPr>
            <w:tcW w:w="688" w:type="dxa"/>
            <w:tcBorders>
              <w:left w:val="nil"/>
              <w:right w:val="nil"/>
            </w:tcBorders>
            <w:shd w:val="clear" w:color="auto" w:fill="auto"/>
            <w:vAlign w:val="center"/>
          </w:tcPr>
          <w:p>
            <w:pPr>
              <w:widowControl/>
              <w:jc w:val="left"/>
              <w:rPr>
                <w:kern w:val="0"/>
                <w:sz w:val="20"/>
                <w:szCs w:val="20"/>
              </w:rPr>
            </w:pPr>
          </w:p>
        </w:tc>
        <w:tc>
          <w:tcPr>
            <w:tcW w:w="667" w:type="dxa"/>
            <w:tcBorders>
              <w:left w:val="nil"/>
              <w:right w:val="single" w:color="auto" w:sz="8" w:space="0"/>
            </w:tcBorders>
            <w:shd w:val="clear" w:color="auto" w:fill="auto"/>
            <w:vAlign w:val="center"/>
          </w:tcPr>
          <w:p>
            <w:pPr>
              <w:jc w:val="right"/>
              <w:rPr>
                <w:rFonts w:eastAsia="等线"/>
                <w:color w:val="000000"/>
                <w:sz w:val="20"/>
                <w:szCs w:val="20"/>
              </w:rPr>
            </w:pPr>
            <w:r>
              <w:rPr>
                <w:rFonts w:hint="eastAsia" w:eastAsia="等线"/>
                <w:color w:val="000000"/>
                <w:sz w:val="20"/>
                <w:szCs w:val="20"/>
                <w:lang w:val="en-US" w:eastAsia="zh-CN"/>
              </w:rPr>
              <w:t>3</w:t>
            </w:r>
            <w:r>
              <w:rPr>
                <w:rFonts w:hint="eastAsia" w:eastAsia="等线"/>
                <w:color w:val="000000"/>
                <w:sz w:val="20"/>
                <w:szCs w:val="20"/>
              </w:rPr>
              <w:t>月</w:t>
            </w:r>
          </w:p>
        </w:tc>
        <w:tc>
          <w:tcPr>
            <w:tcW w:w="1591" w:type="dxa"/>
            <w:tcBorders>
              <w:left w:val="nil"/>
              <w:right w:val="nil"/>
            </w:tcBorders>
            <w:shd w:val="clear" w:color="auto" w:fill="auto"/>
            <w:vAlign w:val="center"/>
          </w:tcPr>
          <w:p>
            <w:pPr>
              <w:jc w:val="center"/>
              <w:rPr>
                <w:rFonts w:hint="default" w:eastAsia="等线"/>
                <w:color w:val="000000"/>
                <w:sz w:val="20"/>
                <w:szCs w:val="20"/>
                <w:lang w:val="en-US" w:eastAsia="zh-CN"/>
              </w:rPr>
            </w:pPr>
            <w:r>
              <w:rPr>
                <w:rFonts w:hint="eastAsia" w:eastAsia="等线"/>
                <w:color w:val="000000"/>
                <w:sz w:val="20"/>
                <w:szCs w:val="20"/>
                <w:lang w:val="en-US" w:eastAsia="zh-CN"/>
              </w:rPr>
              <w:t>45.20</w:t>
            </w:r>
          </w:p>
        </w:tc>
      </w:tr>
      <w:tr>
        <w:tblPrEx>
          <w:tblLayout w:type="fixed"/>
          <w:tblCellMar>
            <w:top w:w="0" w:type="dxa"/>
            <w:left w:w="108" w:type="dxa"/>
            <w:bottom w:w="0" w:type="dxa"/>
            <w:right w:w="108" w:type="dxa"/>
          </w:tblCellMar>
        </w:tblPrEx>
        <w:trPr>
          <w:trHeight w:val="647" w:hRule="atLeast"/>
        </w:trPr>
        <w:tc>
          <w:tcPr>
            <w:tcW w:w="688" w:type="dxa"/>
            <w:tcBorders>
              <w:left w:val="nil"/>
              <w:right w:val="nil"/>
            </w:tcBorders>
            <w:shd w:val="clear" w:color="auto" w:fill="auto"/>
            <w:vAlign w:val="center"/>
          </w:tcPr>
          <w:p>
            <w:pPr>
              <w:widowControl/>
              <w:jc w:val="left"/>
              <w:rPr>
                <w:kern w:val="0"/>
                <w:sz w:val="20"/>
                <w:szCs w:val="20"/>
              </w:rPr>
            </w:pPr>
          </w:p>
        </w:tc>
        <w:tc>
          <w:tcPr>
            <w:tcW w:w="667" w:type="dxa"/>
            <w:tcBorders>
              <w:left w:val="nil"/>
              <w:right w:val="single" w:color="auto" w:sz="8" w:space="0"/>
            </w:tcBorders>
            <w:shd w:val="clear" w:color="auto" w:fill="auto"/>
            <w:vAlign w:val="center"/>
          </w:tcPr>
          <w:p>
            <w:pPr>
              <w:jc w:val="right"/>
              <w:rPr>
                <w:rFonts w:hint="eastAsia" w:eastAsia="等线"/>
                <w:color w:val="000000"/>
                <w:sz w:val="20"/>
                <w:szCs w:val="20"/>
                <w:lang w:val="en-US" w:eastAsia="zh-CN"/>
              </w:rPr>
            </w:pPr>
            <w:r>
              <w:rPr>
                <w:rFonts w:hint="eastAsia" w:eastAsia="等线"/>
                <w:color w:val="000000"/>
                <w:sz w:val="20"/>
                <w:szCs w:val="20"/>
                <w:lang w:val="en-US" w:eastAsia="zh-CN"/>
              </w:rPr>
              <w:t>4月</w:t>
            </w:r>
          </w:p>
        </w:tc>
        <w:tc>
          <w:tcPr>
            <w:tcW w:w="1591" w:type="dxa"/>
            <w:tcBorders>
              <w:left w:val="nil"/>
              <w:right w:val="nil"/>
            </w:tcBorders>
            <w:shd w:val="clear" w:color="auto" w:fill="auto"/>
            <w:vAlign w:val="center"/>
          </w:tcPr>
          <w:p>
            <w:pPr>
              <w:jc w:val="center"/>
              <w:rPr>
                <w:rFonts w:hint="eastAsia" w:eastAsia="等线"/>
                <w:color w:val="000000"/>
                <w:sz w:val="20"/>
                <w:szCs w:val="20"/>
                <w:lang w:val="en-US" w:eastAsia="zh-CN"/>
              </w:rPr>
            </w:pPr>
            <w:r>
              <w:rPr>
                <w:rFonts w:hint="eastAsia" w:eastAsia="等线"/>
                <w:color w:val="000000"/>
                <w:sz w:val="20"/>
                <w:szCs w:val="20"/>
                <w:lang w:val="en-US" w:eastAsia="zh-CN"/>
              </w:rPr>
              <w:t>45.91</w:t>
            </w:r>
          </w:p>
        </w:tc>
      </w:tr>
      <w:tr>
        <w:tblPrEx>
          <w:tblLayout w:type="fixed"/>
          <w:tblCellMar>
            <w:top w:w="0" w:type="dxa"/>
            <w:left w:w="108" w:type="dxa"/>
            <w:bottom w:w="0" w:type="dxa"/>
            <w:right w:w="108" w:type="dxa"/>
          </w:tblCellMar>
        </w:tblPrEx>
        <w:trPr>
          <w:trHeight w:val="647" w:hRule="atLeast"/>
        </w:trPr>
        <w:tc>
          <w:tcPr>
            <w:tcW w:w="688" w:type="dxa"/>
            <w:tcBorders>
              <w:left w:val="nil"/>
              <w:right w:val="nil"/>
            </w:tcBorders>
            <w:shd w:val="clear" w:color="auto" w:fill="auto"/>
            <w:vAlign w:val="center"/>
          </w:tcPr>
          <w:p>
            <w:pPr>
              <w:widowControl/>
              <w:jc w:val="left"/>
              <w:rPr>
                <w:kern w:val="0"/>
                <w:sz w:val="20"/>
                <w:szCs w:val="20"/>
              </w:rPr>
            </w:pPr>
          </w:p>
        </w:tc>
        <w:tc>
          <w:tcPr>
            <w:tcW w:w="667" w:type="dxa"/>
            <w:tcBorders>
              <w:left w:val="nil"/>
              <w:right w:val="single" w:color="auto" w:sz="8" w:space="0"/>
            </w:tcBorders>
            <w:shd w:val="clear" w:color="auto" w:fill="auto"/>
            <w:vAlign w:val="center"/>
          </w:tcPr>
          <w:p>
            <w:pPr>
              <w:jc w:val="right"/>
              <w:rPr>
                <w:rFonts w:hint="eastAsia" w:eastAsia="等线"/>
                <w:color w:val="000000"/>
                <w:sz w:val="20"/>
                <w:szCs w:val="20"/>
                <w:lang w:val="en-US" w:eastAsia="zh-CN"/>
              </w:rPr>
            </w:pPr>
            <w:r>
              <w:rPr>
                <w:rFonts w:hint="eastAsia" w:eastAsia="等线"/>
                <w:color w:val="000000"/>
                <w:sz w:val="20"/>
                <w:szCs w:val="20"/>
                <w:lang w:val="en-US" w:eastAsia="zh-CN"/>
              </w:rPr>
              <w:t>5月</w:t>
            </w:r>
          </w:p>
        </w:tc>
        <w:tc>
          <w:tcPr>
            <w:tcW w:w="1591" w:type="dxa"/>
            <w:tcBorders>
              <w:left w:val="nil"/>
              <w:right w:val="nil"/>
            </w:tcBorders>
            <w:shd w:val="clear" w:color="auto" w:fill="auto"/>
            <w:vAlign w:val="center"/>
          </w:tcPr>
          <w:p>
            <w:pPr>
              <w:jc w:val="center"/>
              <w:rPr>
                <w:rFonts w:hint="eastAsia" w:eastAsia="等线"/>
                <w:color w:val="000000"/>
                <w:sz w:val="20"/>
                <w:szCs w:val="20"/>
                <w:lang w:val="en-US" w:eastAsia="zh-CN"/>
              </w:rPr>
            </w:pPr>
            <w:r>
              <w:rPr>
                <w:rFonts w:hint="eastAsia" w:eastAsia="等线"/>
                <w:color w:val="000000"/>
                <w:sz w:val="20"/>
                <w:szCs w:val="20"/>
                <w:lang w:val="en-US" w:eastAsia="zh-CN"/>
              </w:rPr>
              <w:t>55.72</w:t>
            </w:r>
          </w:p>
        </w:tc>
      </w:tr>
      <w:tr>
        <w:tblPrEx>
          <w:tblLayout w:type="fixed"/>
          <w:tblCellMar>
            <w:top w:w="0" w:type="dxa"/>
            <w:left w:w="108" w:type="dxa"/>
            <w:bottom w:w="0" w:type="dxa"/>
            <w:right w:w="108" w:type="dxa"/>
          </w:tblCellMar>
        </w:tblPrEx>
        <w:trPr>
          <w:trHeight w:val="647" w:hRule="atLeast"/>
        </w:trPr>
        <w:tc>
          <w:tcPr>
            <w:tcW w:w="688" w:type="dxa"/>
            <w:tcBorders>
              <w:left w:val="nil"/>
              <w:right w:val="nil"/>
            </w:tcBorders>
            <w:shd w:val="clear" w:color="auto" w:fill="auto"/>
            <w:vAlign w:val="center"/>
          </w:tcPr>
          <w:p>
            <w:pPr>
              <w:widowControl/>
              <w:jc w:val="left"/>
              <w:rPr>
                <w:kern w:val="0"/>
                <w:sz w:val="20"/>
                <w:szCs w:val="20"/>
              </w:rPr>
            </w:pPr>
          </w:p>
        </w:tc>
        <w:tc>
          <w:tcPr>
            <w:tcW w:w="667" w:type="dxa"/>
            <w:tcBorders>
              <w:left w:val="nil"/>
              <w:right w:val="single" w:color="auto" w:sz="8" w:space="0"/>
            </w:tcBorders>
            <w:shd w:val="clear" w:color="auto" w:fill="auto"/>
            <w:vAlign w:val="center"/>
          </w:tcPr>
          <w:p>
            <w:pPr>
              <w:jc w:val="right"/>
              <w:rPr>
                <w:rFonts w:hint="eastAsia" w:eastAsia="等线"/>
                <w:color w:val="000000"/>
                <w:sz w:val="20"/>
                <w:szCs w:val="20"/>
                <w:lang w:val="en-US" w:eastAsia="zh-CN"/>
              </w:rPr>
            </w:pPr>
            <w:r>
              <w:rPr>
                <w:rFonts w:hint="eastAsia" w:eastAsia="等线"/>
                <w:color w:val="000000"/>
                <w:sz w:val="20"/>
                <w:szCs w:val="20"/>
                <w:lang w:val="en-US" w:eastAsia="zh-CN"/>
              </w:rPr>
              <w:t>6月</w:t>
            </w:r>
          </w:p>
        </w:tc>
        <w:tc>
          <w:tcPr>
            <w:tcW w:w="1591" w:type="dxa"/>
            <w:tcBorders>
              <w:left w:val="nil"/>
              <w:right w:val="nil"/>
            </w:tcBorders>
            <w:shd w:val="clear" w:color="auto" w:fill="auto"/>
            <w:vAlign w:val="center"/>
          </w:tcPr>
          <w:p>
            <w:pPr>
              <w:jc w:val="center"/>
              <w:rPr>
                <w:rFonts w:hint="eastAsia" w:eastAsia="等线"/>
                <w:color w:val="000000"/>
                <w:sz w:val="20"/>
                <w:szCs w:val="20"/>
                <w:lang w:val="en-US" w:eastAsia="zh-CN"/>
              </w:rPr>
            </w:pPr>
            <w:r>
              <w:rPr>
                <w:rFonts w:hint="eastAsia" w:eastAsia="等线"/>
                <w:color w:val="000000"/>
                <w:sz w:val="20"/>
                <w:szCs w:val="20"/>
                <w:lang w:val="en-US" w:eastAsia="zh-CN"/>
              </w:rPr>
              <w:t>69.18</w:t>
            </w:r>
          </w:p>
        </w:tc>
      </w:tr>
      <w:tr>
        <w:tblPrEx>
          <w:tblLayout w:type="fixed"/>
          <w:tblCellMar>
            <w:top w:w="0" w:type="dxa"/>
            <w:left w:w="108" w:type="dxa"/>
            <w:bottom w:w="0" w:type="dxa"/>
            <w:right w:w="108" w:type="dxa"/>
          </w:tblCellMar>
        </w:tblPrEx>
        <w:trPr>
          <w:trHeight w:val="647" w:hRule="atLeast"/>
        </w:trPr>
        <w:tc>
          <w:tcPr>
            <w:tcW w:w="688" w:type="dxa"/>
            <w:tcBorders>
              <w:left w:val="nil"/>
              <w:right w:val="nil"/>
            </w:tcBorders>
            <w:shd w:val="clear" w:color="auto" w:fill="auto"/>
            <w:vAlign w:val="center"/>
          </w:tcPr>
          <w:p>
            <w:pPr>
              <w:widowControl/>
              <w:jc w:val="left"/>
              <w:rPr>
                <w:kern w:val="0"/>
                <w:sz w:val="20"/>
                <w:szCs w:val="20"/>
              </w:rPr>
            </w:pPr>
          </w:p>
        </w:tc>
        <w:tc>
          <w:tcPr>
            <w:tcW w:w="667" w:type="dxa"/>
            <w:tcBorders>
              <w:left w:val="nil"/>
              <w:right w:val="single" w:color="auto" w:sz="8" w:space="0"/>
            </w:tcBorders>
            <w:shd w:val="clear" w:color="auto" w:fill="auto"/>
            <w:vAlign w:val="center"/>
          </w:tcPr>
          <w:p>
            <w:pPr>
              <w:jc w:val="right"/>
              <w:rPr>
                <w:rFonts w:hint="eastAsia" w:eastAsia="等线"/>
                <w:color w:val="000000"/>
                <w:sz w:val="20"/>
                <w:szCs w:val="20"/>
                <w:lang w:val="en-US" w:eastAsia="zh-CN"/>
              </w:rPr>
            </w:pPr>
            <w:r>
              <w:rPr>
                <w:rFonts w:hint="eastAsia" w:eastAsia="等线"/>
                <w:color w:val="000000"/>
                <w:sz w:val="20"/>
                <w:szCs w:val="20"/>
                <w:lang w:val="en-US" w:eastAsia="zh-CN"/>
              </w:rPr>
              <w:t>7月</w:t>
            </w:r>
          </w:p>
        </w:tc>
        <w:tc>
          <w:tcPr>
            <w:tcW w:w="1591" w:type="dxa"/>
            <w:tcBorders>
              <w:left w:val="nil"/>
              <w:right w:val="nil"/>
            </w:tcBorders>
            <w:shd w:val="clear" w:color="auto" w:fill="auto"/>
            <w:vAlign w:val="center"/>
          </w:tcPr>
          <w:p>
            <w:pPr>
              <w:jc w:val="center"/>
              <w:rPr>
                <w:rFonts w:hint="eastAsia" w:eastAsia="等线"/>
                <w:color w:val="000000"/>
                <w:sz w:val="20"/>
                <w:szCs w:val="20"/>
                <w:lang w:val="en-US" w:eastAsia="zh-CN"/>
              </w:rPr>
            </w:pPr>
            <w:r>
              <w:rPr>
                <w:rFonts w:hint="eastAsia" w:eastAsia="等线"/>
                <w:color w:val="000000"/>
                <w:sz w:val="20"/>
                <w:szCs w:val="20"/>
                <w:lang w:val="en-US" w:eastAsia="zh-CN"/>
              </w:rPr>
              <w:t>78.81</w:t>
            </w:r>
          </w:p>
        </w:tc>
      </w:tr>
      <w:tr>
        <w:tblPrEx>
          <w:tblLayout w:type="fixed"/>
          <w:tblCellMar>
            <w:top w:w="0" w:type="dxa"/>
            <w:left w:w="108" w:type="dxa"/>
            <w:bottom w:w="0" w:type="dxa"/>
            <w:right w:w="108" w:type="dxa"/>
          </w:tblCellMar>
        </w:tblPrEx>
        <w:trPr>
          <w:trHeight w:val="647" w:hRule="atLeast"/>
        </w:trPr>
        <w:tc>
          <w:tcPr>
            <w:tcW w:w="688" w:type="dxa"/>
            <w:tcBorders>
              <w:left w:val="nil"/>
              <w:right w:val="nil"/>
            </w:tcBorders>
            <w:shd w:val="clear" w:color="auto" w:fill="auto"/>
            <w:vAlign w:val="center"/>
          </w:tcPr>
          <w:p>
            <w:pPr>
              <w:widowControl/>
              <w:jc w:val="left"/>
              <w:rPr>
                <w:kern w:val="0"/>
                <w:sz w:val="20"/>
                <w:szCs w:val="20"/>
              </w:rPr>
            </w:pPr>
          </w:p>
        </w:tc>
        <w:tc>
          <w:tcPr>
            <w:tcW w:w="667" w:type="dxa"/>
            <w:tcBorders>
              <w:left w:val="nil"/>
              <w:right w:val="single" w:color="auto" w:sz="8" w:space="0"/>
            </w:tcBorders>
            <w:shd w:val="clear" w:color="auto" w:fill="auto"/>
            <w:vAlign w:val="center"/>
          </w:tcPr>
          <w:p>
            <w:pPr>
              <w:jc w:val="right"/>
              <w:rPr>
                <w:rFonts w:hint="eastAsia" w:eastAsia="等线"/>
                <w:color w:val="000000"/>
                <w:sz w:val="20"/>
                <w:szCs w:val="20"/>
                <w:lang w:val="en-US" w:eastAsia="zh-CN"/>
              </w:rPr>
            </w:pPr>
            <w:r>
              <w:rPr>
                <w:rFonts w:hint="eastAsia" w:eastAsia="等线"/>
                <w:color w:val="000000"/>
                <w:sz w:val="20"/>
                <w:szCs w:val="20"/>
                <w:lang w:val="en-US" w:eastAsia="zh-CN"/>
              </w:rPr>
              <w:t>8月</w:t>
            </w:r>
          </w:p>
        </w:tc>
        <w:tc>
          <w:tcPr>
            <w:tcW w:w="1591" w:type="dxa"/>
            <w:tcBorders>
              <w:left w:val="nil"/>
              <w:right w:val="nil"/>
            </w:tcBorders>
            <w:shd w:val="clear" w:color="auto" w:fill="auto"/>
            <w:vAlign w:val="center"/>
          </w:tcPr>
          <w:p>
            <w:pPr>
              <w:jc w:val="center"/>
              <w:rPr>
                <w:rFonts w:hint="eastAsia" w:eastAsia="等线"/>
                <w:color w:val="000000"/>
                <w:sz w:val="20"/>
                <w:szCs w:val="20"/>
                <w:lang w:val="en-US" w:eastAsia="zh-CN"/>
              </w:rPr>
            </w:pPr>
            <w:r>
              <w:rPr>
                <w:rFonts w:hint="eastAsia" w:eastAsia="等线"/>
                <w:color w:val="000000"/>
                <w:sz w:val="20"/>
                <w:szCs w:val="20"/>
                <w:lang w:val="en-US" w:eastAsia="zh-CN"/>
              </w:rPr>
              <w:t>88.49</w:t>
            </w:r>
          </w:p>
        </w:tc>
      </w:tr>
      <w:tr>
        <w:tblPrEx>
          <w:tblLayout w:type="fixed"/>
          <w:tblCellMar>
            <w:top w:w="0" w:type="dxa"/>
            <w:left w:w="108" w:type="dxa"/>
            <w:bottom w:w="0" w:type="dxa"/>
            <w:right w:w="108" w:type="dxa"/>
          </w:tblCellMar>
        </w:tblPrEx>
        <w:trPr>
          <w:trHeight w:val="647" w:hRule="atLeast"/>
        </w:trPr>
        <w:tc>
          <w:tcPr>
            <w:tcW w:w="688" w:type="dxa"/>
            <w:tcBorders>
              <w:left w:val="nil"/>
              <w:bottom w:val="single" w:color="auto" w:sz="4" w:space="0"/>
              <w:right w:val="nil"/>
            </w:tcBorders>
            <w:shd w:val="clear" w:color="auto" w:fill="auto"/>
            <w:vAlign w:val="center"/>
          </w:tcPr>
          <w:p>
            <w:pPr>
              <w:widowControl/>
              <w:jc w:val="left"/>
              <w:rPr>
                <w:kern w:val="0"/>
                <w:sz w:val="20"/>
                <w:szCs w:val="20"/>
              </w:rPr>
            </w:pPr>
          </w:p>
        </w:tc>
        <w:tc>
          <w:tcPr>
            <w:tcW w:w="667" w:type="dxa"/>
            <w:tcBorders>
              <w:left w:val="nil"/>
              <w:bottom w:val="single" w:color="auto" w:sz="4" w:space="0"/>
              <w:right w:val="single" w:color="auto" w:sz="8" w:space="0"/>
            </w:tcBorders>
            <w:shd w:val="clear" w:color="auto" w:fill="auto"/>
            <w:vAlign w:val="center"/>
          </w:tcPr>
          <w:p>
            <w:pPr>
              <w:jc w:val="right"/>
              <w:rPr>
                <w:rFonts w:hint="eastAsia" w:eastAsia="等线"/>
                <w:color w:val="000000"/>
                <w:sz w:val="20"/>
                <w:szCs w:val="20"/>
                <w:lang w:val="en-US" w:eastAsia="zh-CN"/>
              </w:rPr>
            </w:pPr>
            <w:r>
              <w:rPr>
                <w:rFonts w:hint="eastAsia" w:eastAsia="等线"/>
                <w:color w:val="000000"/>
                <w:sz w:val="20"/>
                <w:szCs w:val="20"/>
                <w:lang w:val="en-US" w:eastAsia="zh-CN"/>
              </w:rPr>
              <w:t>9月</w:t>
            </w:r>
          </w:p>
        </w:tc>
        <w:tc>
          <w:tcPr>
            <w:tcW w:w="1591" w:type="dxa"/>
            <w:tcBorders>
              <w:left w:val="nil"/>
              <w:bottom w:val="single" w:color="auto" w:sz="4" w:space="0"/>
              <w:right w:val="nil"/>
            </w:tcBorders>
            <w:shd w:val="clear" w:color="auto" w:fill="auto"/>
            <w:vAlign w:val="center"/>
          </w:tcPr>
          <w:p>
            <w:pPr>
              <w:jc w:val="center"/>
              <w:rPr>
                <w:rFonts w:hint="eastAsia" w:eastAsia="等线"/>
                <w:color w:val="000000"/>
                <w:sz w:val="20"/>
                <w:szCs w:val="20"/>
                <w:lang w:val="en-US" w:eastAsia="zh-CN"/>
              </w:rPr>
            </w:pPr>
            <w:r>
              <w:rPr>
                <w:rFonts w:hint="eastAsia" w:eastAsia="等线"/>
                <w:color w:val="000000"/>
                <w:sz w:val="20"/>
                <w:szCs w:val="20"/>
                <w:lang w:val="en-US" w:eastAsia="zh-CN"/>
              </w:rPr>
              <w:t>102.54</w:t>
            </w:r>
          </w:p>
        </w:tc>
      </w:tr>
    </w:tbl>
    <w:p>
      <w:pPr>
        <w:ind w:right="359" w:rightChars="171"/>
        <w:rPr>
          <w:rFonts w:hint="eastAsia" w:ascii="黑体" w:eastAsia="黑体"/>
          <w:sz w:val="30"/>
          <w:szCs w:val="30"/>
        </w:rPr>
      </w:pPr>
    </w:p>
    <w:p>
      <w:pPr>
        <w:ind w:right="298"/>
        <w:rPr>
          <w:rFonts w:hint="eastAsia" w:ascii="黑体" w:eastAsia="黑体"/>
          <w:sz w:val="30"/>
          <w:szCs w:val="30"/>
        </w:rPr>
      </w:pPr>
    </w:p>
    <w:p>
      <w:pPr>
        <w:ind w:right="298"/>
        <w:rPr>
          <w:rFonts w:hint="eastAsia" w:ascii="黑体" w:eastAsia="黑体"/>
          <w:sz w:val="30"/>
          <w:szCs w:val="30"/>
        </w:rPr>
      </w:pPr>
    </w:p>
    <w:p>
      <w:pPr>
        <w:widowControl/>
        <w:ind w:right="298"/>
        <w:rPr>
          <w:rFonts w:hint="eastAsia"/>
        </w:rPr>
      </w:pPr>
    </w:p>
    <w:p>
      <w:pPr>
        <w:widowControl/>
        <w:ind w:right="298"/>
        <w:rPr>
          <w:rFonts w:hint="eastAsia"/>
        </w:rPr>
      </w:pPr>
    </w:p>
    <w:p>
      <w:pPr>
        <w:ind w:right="298"/>
        <w:jc w:val="center"/>
        <w:rPr>
          <w:rFonts w:hint="eastAsia" w:eastAsia="宋体"/>
          <w:lang w:eastAsia="zh-CN"/>
        </w:rPr>
      </w:pPr>
    </w:p>
    <w:p>
      <w:pPr>
        <w:ind w:right="298"/>
        <w:jc w:val="center"/>
        <w:rPr>
          <w:rFonts w:hint="eastAsia" w:eastAsia="宋体"/>
          <w:lang w:eastAsia="zh-CN"/>
        </w:rPr>
      </w:pPr>
    </w:p>
    <w:p>
      <w:pPr>
        <w:ind w:right="298"/>
        <w:jc w:val="center"/>
        <w:rPr>
          <w:rFonts w:hint="eastAsia" w:eastAsia="宋体"/>
          <w:lang w:eastAsia="zh-CN"/>
        </w:rPr>
      </w:pPr>
    </w:p>
    <w:p>
      <w:pPr>
        <w:widowControl/>
        <w:ind w:right="298" w:firstLine="420" w:firstLineChars="200"/>
        <w:rPr>
          <w:rFonts w:hint="eastAsia"/>
          <w:kern w:val="0"/>
          <w:szCs w:val="21"/>
        </w:rPr>
      </w:pPr>
      <w:r>
        <w:rPr>
          <w:rFonts w:hint="eastAsia"/>
          <w:kern w:val="0"/>
          <w:szCs w:val="21"/>
        </w:rPr>
        <w:tab/>
      </w:r>
    </w:p>
    <w:p>
      <w:pPr>
        <w:widowControl/>
        <w:ind w:right="298" w:firstLine="600" w:firstLineChars="200"/>
        <w:rPr>
          <w:rFonts w:hint="eastAsia" w:ascii="黑体" w:eastAsia="黑体"/>
          <w:kern w:val="0"/>
          <w:sz w:val="30"/>
          <w:szCs w:val="30"/>
          <w:lang w:val="en-US" w:eastAsia="zh-CN"/>
        </w:rPr>
      </w:pPr>
    </w:p>
    <w:sectPr>
      <w:headerReference r:id="rId3" w:type="default"/>
      <w:footerReference r:id="rId4" w:type="default"/>
      <w:pgSz w:w="11906" w:h="16838"/>
      <w:pgMar w:top="1440" w:right="926" w:bottom="1440" w:left="1701" w:header="312" w:footer="291"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等线">
    <w:altName w:val="宋体"/>
    <w:panose1 w:val="02010600030101010101"/>
    <w:charset w:val="86"/>
    <w:family w:val="auto"/>
    <w:pitch w:val="default"/>
    <w:sig w:usb0="00000000" w:usb1="00000000" w:usb2="00000016" w:usb3="00000000" w:csb0="0004000F" w:csb1="00000000"/>
  </w:font>
  <w:font w:name="Calibri Light">
    <w:panose1 w:val="020F0302020204030204"/>
    <w:charset w:val="00"/>
    <w:family w:val="auto"/>
    <w:pitch w:val="default"/>
    <w:sig w:usb0="A00002EF" w:usb1="4000207B" w:usb2="00000000" w:usb3="00000000" w:csb0="2000019F" w:csb1="00000000"/>
  </w:font>
  <w:font w:name="Arial">
    <w:panose1 w:val="020B0604020202020204"/>
    <w:charset w:val="00"/>
    <w:family w:val="auto"/>
    <w:pitch w:val="default"/>
    <w:sig w:usb0="E0002AFF" w:usb1="C0007843" w:usb2="00000009" w:usb3="00000000" w:csb0="400001FF" w:csb1="FFFF0000"/>
  </w:font>
  <w:font w:name="微软雅黑">
    <w:panose1 w:val="020B0503020204020204"/>
    <w:charset w:val="86"/>
    <w:family w:val="swiss"/>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tabs>
        <w:tab w:val="right" w:pos="9540"/>
        <w:tab w:val="clear" w:pos="8306"/>
      </w:tabs>
      <w:ind w:left="99" w:leftChars="-428" w:right="-1233" w:rightChars="-587" w:hanging="998" w:hangingChars="499"/>
      <w:rPr>
        <w:rFonts w:ascii="Arial" w:hAnsi="Arial" w:cs="Arial"/>
        <w:sz w:val="20"/>
        <w:szCs w:val="20"/>
      </w:rPr>
    </w:pPr>
    <w:r>
      <w:rPr>
        <w:rFonts w:ascii="Arial" w:hAnsi="Arial" w:cs="Arial"/>
        <w:sz w:val="20"/>
        <w:szCs w:val="20"/>
      </w:rPr>
      <w:t xml:space="preserve">   </w:t>
    </w:r>
    <w:r>
      <w:rPr>
        <w:rFonts w:hint="eastAsia" w:ascii="Arial" w:hAnsi="Arial" w:cs="Arial"/>
        <w:sz w:val="20"/>
        <w:szCs w:val="20"/>
      </w:rPr>
      <w:t xml:space="preserve"> </w:t>
    </w:r>
    <w:r>
      <w:rPr>
        <w:rFonts w:ascii="Arial" w:hAnsi="Arial" w:cs="Arial"/>
        <w:sz w:val="20"/>
        <w:szCs w:val="20"/>
      </w:rPr>
      <w:t xml:space="preserve">             </w:t>
    </w:r>
  </w:p>
  <w:p>
    <w:pPr>
      <w:pStyle w:val="2"/>
      <w:ind w:left="-1" w:leftChars="-428" w:hanging="898" w:hangingChars="499"/>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FFFFFF" w:sz="6" w:space="1"/>
      </w:pBdr>
      <w:ind w:left="0" w:leftChars="0"/>
      <w:rPr>
        <w:rFonts w:hint="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87B3514"/>
    <w:rsid w:val="00121A95"/>
    <w:rsid w:val="001D446C"/>
    <w:rsid w:val="00246AAC"/>
    <w:rsid w:val="002D0BFC"/>
    <w:rsid w:val="008F5403"/>
    <w:rsid w:val="009F2C87"/>
    <w:rsid w:val="00AB2382"/>
    <w:rsid w:val="00B6361E"/>
    <w:rsid w:val="00C748F6"/>
    <w:rsid w:val="00D47814"/>
    <w:rsid w:val="01034B66"/>
    <w:rsid w:val="01097387"/>
    <w:rsid w:val="011268BE"/>
    <w:rsid w:val="011E503D"/>
    <w:rsid w:val="01524603"/>
    <w:rsid w:val="016F48B4"/>
    <w:rsid w:val="01783B0A"/>
    <w:rsid w:val="017A3706"/>
    <w:rsid w:val="017B369B"/>
    <w:rsid w:val="01AA3CA3"/>
    <w:rsid w:val="01EA1A12"/>
    <w:rsid w:val="01FC41F7"/>
    <w:rsid w:val="02090B25"/>
    <w:rsid w:val="023C1A09"/>
    <w:rsid w:val="023D7EBD"/>
    <w:rsid w:val="028C0BAE"/>
    <w:rsid w:val="02C61949"/>
    <w:rsid w:val="02DB06B6"/>
    <w:rsid w:val="02F036F0"/>
    <w:rsid w:val="02F66046"/>
    <w:rsid w:val="0328649D"/>
    <w:rsid w:val="033A7109"/>
    <w:rsid w:val="033F1164"/>
    <w:rsid w:val="03414F60"/>
    <w:rsid w:val="03464D43"/>
    <w:rsid w:val="03545035"/>
    <w:rsid w:val="03660C91"/>
    <w:rsid w:val="037F6AB3"/>
    <w:rsid w:val="03911000"/>
    <w:rsid w:val="03A250E7"/>
    <w:rsid w:val="03AD559B"/>
    <w:rsid w:val="03C824E9"/>
    <w:rsid w:val="03D14989"/>
    <w:rsid w:val="03D5730A"/>
    <w:rsid w:val="03F11A17"/>
    <w:rsid w:val="043A3124"/>
    <w:rsid w:val="04426DA1"/>
    <w:rsid w:val="044335DE"/>
    <w:rsid w:val="045B01B5"/>
    <w:rsid w:val="045D2000"/>
    <w:rsid w:val="045E3F8C"/>
    <w:rsid w:val="04983CC2"/>
    <w:rsid w:val="04A9731D"/>
    <w:rsid w:val="04B8762E"/>
    <w:rsid w:val="04D30FBB"/>
    <w:rsid w:val="04D602AD"/>
    <w:rsid w:val="04E170E0"/>
    <w:rsid w:val="04E34333"/>
    <w:rsid w:val="04F161BA"/>
    <w:rsid w:val="053C4C11"/>
    <w:rsid w:val="05402EBE"/>
    <w:rsid w:val="055432E6"/>
    <w:rsid w:val="05645170"/>
    <w:rsid w:val="0567199F"/>
    <w:rsid w:val="056E66C4"/>
    <w:rsid w:val="0573787B"/>
    <w:rsid w:val="05952A63"/>
    <w:rsid w:val="05987A4C"/>
    <w:rsid w:val="05A06E5F"/>
    <w:rsid w:val="05B725A7"/>
    <w:rsid w:val="06053F1F"/>
    <w:rsid w:val="060B512E"/>
    <w:rsid w:val="063A7242"/>
    <w:rsid w:val="065101B3"/>
    <w:rsid w:val="066756DD"/>
    <w:rsid w:val="06830CFA"/>
    <w:rsid w:val="06BF2547"/>
    <w:rsid w:val="06E906D4"/>
    <w:rsid w:val="06E976FA"/>
    <w:rsid w:val="06FB7C24"/>
    <w:rsid w:val="07056417"/>
    <w:rsid w:val="07097693"/>
    <w:rsid w:val="072B56C4"/>
    <w:rsid w:val="07325C88"/>
    <w:rsid w:val="07703B8C"/>
    <w:rsid w:val="07745F87"/>
    <w:rsid w:val="07890F4B"/>
    <w:rsid w:val="07AF76CC"/>
    <w:rsid w:val="07BB4D93"/>
    <w:rsid w:val="08001738"/>
    <w:rsid w:val="080D14F8"/>
    <w:rsid w:val="080E1E1B"/>
    <w:rsid w:val="08160A62"/>
    <w:rsid w:val="081878A1"/>
    <w:rsid w:val="08206530"/>
    <w:rsid w:val="083A7E7C"/>
    <w:rsid w:val="084B7DD3"/>
    <w:rsid w:val="08516999"/>
    <w:rsid w:val="08577A27"/>
    <w:rsid w:val="0876252A"/>
    <w:rsid w:val="08B0048A"/>
    <w:rsid w:val="08B871F8"/>
    <w:rsid w:val="08D23AC7"/>
    <w:rsid w:val="08D6174C"/>
    <w:rsid w:val="08EE6E48"/>
    <w:rsid w:val="09004E00"/>
    <w:rsid w:val="0907151A"/>
    <w:rsid w:val="090B5B01"/>
    <w:rsid w:val="09100D3A"/>
    <w:rsid w:val="09145A53"/>
    <w:rsid w:val="091F0B61"/>
    <w:rsid w:val="0927179F"/>
    <w:rsid w:val="094D1B2E"/>
    <w:rsid w:val="095F200F"/>
    <w:rsid w:val="0961735D"/>
    <w:rsid w:val="09657C43"/>
    <w:rsid w:val="0976641A"/>
    <w:rsid w:val="098650A6"/>
    <w:rsid w:val="09AE48A1"/>
    <w:rsid w:val="09B5004C"/>
    <w:rsid w:val="09B73659"/>
    <w:rsid w:val="09BE5E68"/>
    <w:rsid w:val="09F67434"/>
    <w:rsid w:val="0A0E6EFF"/>
    <w:rsid w:val="0A1A0D02"/>
    <w:rsid w:val="0A2E3399"/>
    <w:rsid w:val="0A4B52CA"/>
    <w:rsid w:val="0A651CFA"/>
    <w:rsid w:val="0A7C1408"/>
    <w:rsid w:val="0AB56B97"/>
    <w:rsid w:val="0AD3526A"/>
    <w:rsid w:val="0AD6558B"/>
    <w:rsid w:val="0ADD188F"/>
    <w:rsid w:val="0ADD6E27"/>
    <w:rsid w:val="0ADF66FD"/>
    <w:rsid w:val="0B3375C3"/>
    <w:rsid w:val="0B5562FE"/>
    <w:rsid w:val="0BE45B06"/>
    <w:rsid w:val="0C061E81"/>
    <w:rsid w:val="0C2008AE"/>
    <w:rsid w:val="0C27787F"/>
    <w:rsid w:val="0C427014"/>
    <w:rsid w:val="0C6613E1"/>
    <w:rsid w:val="0C8600BB"/>
    <w:rsid w:val="0C9A4C02"/>
    <w:rsid w:val="0CA36FCC"/>
    <w:rsid w:val="0CA45C4B"/>
    <w:rsid w:val="0CCF7881"/>
    <w:rsid w:val="0CE70D72"/>
    <w:rsid w:val="0CE87AE3"/>
    <w:rsid w:val="0D0F77A4"/>
    <w:rsid w:val="0D2E340A"/>
    <w:rsid w:val="0D3913D6"/>
    <w:rsid w:val="0D8125EB"/>
    <w:rsid w:val="0D815038"/>
    <w:rsid w:val="0D8267D7"/>
    <w:rsid w:val="0D9C6B4B"/>
    <w:rsid w:val="0DA12976"/>
    <w:rsid w:val="0DB478BB"/>
    <w:rsid w:val="0DBA268A"/>
    <w:rsid w:val="0DFB164C"/>
    <w:rsid w:val="0E1B6D1A"/>
    <w:rsid w:val="0E46469D"/>
    <w:rsid w:val="0E514808"/>
    <w:rsid w:val="0EA12169"/>
    <w:rsid w:val="0EA72BB4"/>
    <w:rsid w:val="0EA772CD"/>
    <w:rsid w:val="0EAF7690"/>
    <w:rsid w:val="0EB86C91"/>
    <w:rsid w:val="0EDB137D"/>
    <w:rsid w:val="0F1249A8"/>
    <w:rsid w:val="0F696C67"/>
    <w:rsid w:val="0F9C3525"/>
    <w:rsid w:val="0FA32A0F"/>
    <w:rsid w:val="0FA92E32"/>
    <w:rsid w:val="0FC91F1B"/>
    <w:rsid w:val="0FCA58D5"/>
    <w:rsid w:val="0FCB4CAD"/>
    <w:rsid w:val="0FDD5C15"/>
    <w:rsid w:val="0FE41F63"/>
    <w:rsid w:val="0FFC1648"/>
    <w:rsid w:val="10115E90"/>
    <w:rsid w:val="10166AD0"/>
    <w:rsid w:val="10186EE2"/>
    <w:rsid w:val="10485E75"/>
    <w:rsid w:val="10637CC6"/>
    <w:rsid w:val="106E0273"/>
    <w:rsid w:val="10732526"/>
    <w:rsid w:val="10CA5857"/>
    <w:rsid w:val="10F4076C"/>
    <w:rsid w:val="10FF750E"/>
    <w:rsid w:val="110F1E42"/>
    <w:rsid w:val="11145A9E"/>
    <w:rsid w:val="111A2CEF"/>
    <w:rsid w:val="11620E5E"/>
    <w:rsid w:val="117124D2"/>
    <w:rsid w:val="11B14FDD"/>
    <w:rsid w:val="11D12B20"/>
    <w:rsid w:val="12035D9F"/>
    <w:rsid w:val="122A76E9"/>
    <w:rsid w:val="123C49A4"/>
    <w:rsid w:val="1258007D"/>
    <w:rsid w:val="125F5D91"/>
    <w:rsid w:val="12850990"/>
    <w:rsid w:val="128869B8"/>
    <w:rsid w:val="128F1E3F"/>
    <w:rsid w:val="12B36326"/>
    <w:rsid w:val="12C42BC6"/>
    <w:rsid w:val="12E92523"/>
    <w:rsid w:val="132C7AF9"/>
    <w:rsid w:val="13326F62"/>
    <w:rsid w:val="133C7351"/>
    <w:rsid w:val="13685154"/>
    <w:rsid w:val="136A5E30"/>
    <w:rsid w:val="137E74AD"/>
    <w:rsid w:val="13882D2D"/>
    <w:rsid w:val="13973C0D"/>
    <w:rsid w:val="139B1379"/>
    <w:rsid w:val="13B34FCF"/>
    <w:rsid w:val="13C976AD"/>
    <w:rsid w:val="13CC0D50"/>
    <w:rsid w:val="13CC2BBB"/>
    <w:rsid w:val="13EC3C04"/>
    <w:rsid w:val="1425578B"/>
    <w:rsid w:val="14267432"/>
    <w:rsid w:val="142E2EB7"/>
    <w:rsid w:val="1438181B"/>
    <w:rsid w:val="1444084A"/>
    <w:rsid w:val="14543791"/>
    <w:rsid w:val="1473551A"/>
    <w:rsid w:val="14737826"/>
    <w:rsid w:val="147E0BB6"/>
    <w:rsid w:val="14835AE4"/>
    <w:rsid w:val="14951E5A"/>
    <w:rsid w:val="14955041"/>
    <w:rsid w:val="14EB0B3C"/>
    <w:rsid w:val="14F068CA"/>
    <w:rsid w:val="15263CE8"/>
    <w:rsid w:val="153712B3"/>
    <w:rsid w:val="153D033F"/>
    <w:rsid w:val="154D2CBC"/>
    <w:rsid w:val="1565151B"/>
    <w:rsid w:val="159476C9"/>
    <w:rsid w:val="15A960B7"/>
    <w:rsid w:val="160C4B1B"/>
    <w:rsid w:val="161F68DE"/>
    <w:rsid w:val="163B5582"/>
    <w:rsid w:val="16436535"/>
    <w:rsid w:val="1647453E"/>
    <w:rsid w:val="164747A9"/>
    <w:rsid w:val="16487617"/>
    <w:rsid w:val="16987DE2"/>
    <w:rsid w:val="16A01444"/>
    <w:rsid w:val="16B03ADE"/>
    <w:rsid w:val="16B05486"/>
    <w:rsid w:val="16C128F3"/>
    <w:rsid w:val="16D939C6"/>
    <w:rsid w:val="16E83236"/>
    <w:rsid w:val="16F342AB"/>
    <w:rsid w:val="17100AD9"/>
    <w:rsid w:val="17570E13"/>
    <w:rsid w:val="176843F2"/>
    <w:rsid w:val="176B569B"/>
    <w:rsid w:val="176C50A1"/>
    <w:rsid w:val="177900BE"/>
    <w:rsid w:val="1797288B"/>
    <w:rsid w:val="179806BE"/>
    <w:rsid w:val="17A64A83"/>
    <w:rsid w:val="17A96C3F"/>
    <w:rsid w:val="17DE00B5"/>
    <w:rsid w:val="17EF1048"/>
    <w:rsid w:val="17F74DF6"/>
    <w:rsid w:val="18066275"/>
    <w:rsid w:val="180E59F3"/>
    <w:rsid w:val="182565F5"/>
    <w:rsid w:val="18296646"/>
    <w:rsid w:val="18542DCA"/>
    <w:rsid w:val="18860918"/>
    <w:rsid w:val="18913DBD"/>
    <w:rsid w:val="18AF54BD"/>
    <w:rsid w:val="18B412AA"/>
    <w:rsid w:val="18BA54F7"/>
    <w:rsid w:val="18E936B9"/>
    <w:rsid w:val="18FD5F2B"/>
    <w:rsid w:val="191C6419"/>
    <w:rsid w:val="19266639"/>
    <w:rsid w:val="19301B51"/>
    <w:rsid w:val="193D5337"/>
    <w:rsid w:val="194418B1"/>
    <w:rsid w:val="194B0AC4"/>
    <w:rsid w:val="195E2776"/>
    <w:rsid w:val="1988405B"/>
    <w:rsid w:val="19906E7B"/>
    <w:rsid w:val="199D3319"/>
    <w:rsid w:val="19BC05DF"/>
    <w:rsid w:val="19BC5524"/>
    <w:rsid w:val="19DE1E1A"/>
    <w:rsid w:val="19E818BA"/>
    <w:rsid w:val="1A0448C7"/>
    <w:rsid w:val="1A2B54FC"/>
    <w:rsid w:val="1A2B7DFC"/>
    <w:rsid w:val="1A38742F"/>
    <w:rsid w:val="1A630C0E"/>
    <w:rsid w:val="1A930B31"/>
    <w:rsid w:val="1AE50F94"/>
    <w:rsid w:val="1AEA0848"/>
    <w:rsid w:val="1AFD1919"/>
    <w:rsid w:val="1B066CF0"/>
    <w:rsid w:val="1B080F77"/>
    <w:rsid w:val="1B423FF0"/>
    <w:rsid w:val="1B42546D"/>
    <w:rsid w:val="1B432054"/>
    <w:rsid w:val="1B5B6080"/>
    <w:rsid w:val="1B6E7695"/>
    <w:rsid w:val="1B704263"/>
    <w:rsid w:val="1B71381B"/>
    <w:rsid w:val="1B7601DF"/>
    <w:rsid w:val="1B7B6004"/>
    <w:rsid w:val="1B862421"/>
    <w:rsid w:val="1B887BCB"/>
    <w:rsid w:val="1B995F67"/>
    <w:rsid w:val="1BDB009E"/>
    <w:rsid w:val="1BE147E1"/>
    <w:rsid w:val="1BF63CE3"/>
    <w:rsid w:val="1C345827"/>
    <w:rsid w:val="1C3E0F57"/>
    <w:rsid w:val="1C45414A"/>
    <w:rsid w:val="1C716819"/>
    <w:rsid w:val="1C862F3B"/>
    <w:rsid w:val="1C8F15C1"/>
    <w:rsid w:val="1C96590D"/>
    <w:rsid w:val="1C9C7F9F"/>
    <w:rsid w:val="1CA73F28"/>
    <w:rsid w:val="1CA95990"/>
    <w:rsid w:val="1CB55450"/>
    <w:rsid w:val="1CB70529"/>
    <w:rsid w:val="1CF563D3"/>
    <w:rsid w:val="1D0B21A9"/>
    <w:rsid w:val="1D0B5FD3"/>
    <w:rsid w:val="1D3C5017"/>
    <w:rsid w:val="1D641454"/>
    <w:rsid w:val="1D7D6864"/>
    <w:rsid w:val="1D902AEE"/>
    <w:rsid w:val="1DE07883"/>
    <w:rsid w:val="1DF46AD9"/>
    <w:rsid w:val="1DFC2DFF"/>
    <w:rsid w:val="1E182229"/>
    <w:rsid w:val="1E1E014A"/>
    <w:rsid w:val="1E9F1AD1"/>
    <w:rsid w:val="1EB02827"/>
    <w:rsid w:val="1EC373BF"/>
    <w:rsid w:val="1F041005"/>
    <w:rsid w:val="1F126577"/>
    <w:rsid w:val="1F145A8A"/>
    <w:rsid w:val="1F2A1A7B"/>
    <w:rsid w:val="1F304B21"/>
    <w:rsid w:val="1F32090C"/>
    <w:rsid w:val="1F327FC5"/>
    <w:rsid w:val="1F7A21C8"/>
    <w:rsid w:val="1F993B25"/>
    <w:rsid w:val="1FA72B70"/>
    <w:rsid w:val="1FD049DB"/>
    <w:rsid w:val="1FD31C6B"/>
    <w:rsid w:val="200A06F5"/>
    <w:rsid w:val="204E0910"/>
    <w:rsid w:val="204F520F"/>
    <w:rsid w:val="205A18E4"/>
    <w:rsid w:val="20634791"/>
    <w:rsid w:val="20912402"/>
    <w:rsid w:val="20972E44"/>
    <w:rsid w:val="20A14004"/>
    <w:rsid w:val="20AC136A"/>
    <w:rsid w:val="20B45E96"/>
    <w:rsid w:val="20D436F2"/>
    <w:rsid w:val="215E4153"/>
    <w:rsid w:val="21AA2813"/>
    <w:rsid w:val="21AC10E4"/>
    <w:rsid w:val="21CA19F2"/>
    <w:rsid w:val="22026E4F"/>
    <w:rsid w:val="220D3E32"/>
    <w:rsid w:val="22175E75"/>
    <w:rsid w:val="227D700E"/>
    <w:rsid w:val="2291071D"/>
    <w:rsid w:val="229573C5"/>
    <w:rsid w:val="22C62C8D"/>
    <w:rsid w:val="23185244"/>
    <w:rsid w:val="232A1588"/>
    <w:rsid w:val="23365CA6"/>
    <w:rsid w:val="2343171D"/>
    <w:rsid w:val="234B7B69"/>
    <w:rsid w:val="23514F4D"/>
    <w:rsid w:val="23620E02"/>
    <w:rsid w:val="237947A1"/>
    <w:rsid w:val="23917166"/>
    <w:rsid w:val="23945C5D"/>
    <w:rsid w:val="23C51118"/>
    <w:rsid w:val="23CD194C"/>
    <w:rsid w:val="23DD4150"/>
    <w:rsid w:val="24531BE3"/>
    <w:rsid w:val="245D48FF"/>
    <w:rsid w:val="246D3A41"/>
    <w:rsid w:val="24806A70"/>
    <w:rsid w:val="2492178E"/>
    <w:rsid w:val="24A41940"/>
    <w:rsid w:val="24A64043"/>
    <w:rsid w:val="24AE1E37"/>
    <w:rsid w:val="24DD0488"/>
    <w:rsid w:val="24E51564"/>
    <w:rsid w:val="24F32FCC"/>
    <w:rsid w:val="24F74C0C"/>
    <w:rsid w:val="24FB466D"/>
    <w:rsid w:val="24FD5854"/>
    <w:rsid w:val="253E15AD"/>
    <w:rsid w:val="254234E3"/>
    <w:rsid w:val="25B234AA"/>
    <w:rsid w:val="25D86EAB"/>
    <w:rsid w:val="25E0349B"/>
    <w:rsid w:val="25EE1DF2"/>
    <w:rsid w:val="2610608B"/>
    <w:rsid w:val="261F3FAC"/>
    <w:rsid w:val="265A77EB"/>
    <w:rsid w:val="265D19EA"/>
    <w:rsid w:val="267B48DA"/>
    <w:rsid w:val="267F2B7F"/>
    <w:rsid w:val="26A825E8"/>
    <w:rsid w:val="26CD292A"/>
    <w:rsid w:val="26D61675"/>
    <w:rsid w:val="26F36F54"/>
    <w:rsid w:val="274759EA"/>
    <w:rsid w:val="278A0A64"/>
    <w:rsid w:val="278D14EA"/>
    <w:rsid w:val="27A469BF"/>
    <w:rsid w:val="27AB5ACE"/>
    <w:rsid w:val="27B633DD"/>
    <w:rsid w:val="27D979FA"/>
    <w:rsid w:val="27E512EB"/>
    <w:rsid w:val="281028AF"/>
    <w:rsid w:val="28290D4F"/>
    <w:rsid w:val="28523447"/>
    <w:rsid w:val="285A2EC9"/>
    <w:rsid w:val="288F2E9E"/>
    <w:rsid w:val="28BA3FC5"/>
    <w:rsid w:val="28C33D26"/>
    <w:rsid w:val="28EF2CA9"/>
    <w:rsid w:val="29414F74"/>
    <w:rsid w:val="294639F8"/>
    <w:rsid w:val="296237F7"/>
    <w:rsid w:val="296F6958"/>
    <w:rsid w:val="29826FAA"/>
    <w:rsid w:val="29E83B28"/>
    <w:rsid w:val="2A064D7F"/>
    <w:rsid w:val="2A0E34D8"/>
    <w:rsid w:val="2A407EFD"/>
    <w:rsid w:val="2A4D6850"/>
    <w:rsid w:val="2A5E04F0"/>
    <w:rsid w:val="2A6561D4"/>
    <w:rsid w:val="2A725B32"/>
    <w:rsid w:val="2A832D8B"/>
    <w:rsid w:val="2AEE04C3"/>
    <w:rsid w:val="2B115E08"/>
    <w:rsid w:val="2B1F4750"/>
    <w:rsid w:val="2B6327D8"/>
    <w:rsid w:val="2B945847"/>
    <w:rsid w:val="2BBF2DF0"/>
    <w:rsid w:val="2BF8386D"/>
    <w:rsid w:val="2C111567"/>
    <w:rsid w:val="2C132715"/>
    <w:rsid w:val="2C304BEE"/>
    <w:rsid w:val="2C440E91"/>
    <w:rsid w:val="2C473C0E"/>
    <w:rsid w:val="2C505CE6"/>
    <w:rsid w:val="2C5E72BF"/>
    <w:rsid w:val="2C926E8F"/>
    <w:rsid w:val="2CA6398D"/>
    <w:rsid w:val="2CA762BC"/>
    <w:rsid w:val="2CB816D3"/>
    <w:rsid w:val="2CBA7187"/>
    <w:rsid w:val="2CDF1227"/>
    <w:rsid w:val="2CF124EF"/>
    <w:rsid w:val="2D0B43C7"/>
    <w:rsid w:val="2D2B28B4"/>
    <w:rsid w:val="2D305076"/>
    <w:rsid w:val="2D744AE7"/>
    <w:rsid w:val="2D9C1F95"/>
    <w:rsid w:val="2D9E5ACF"/>
    <w:rsid w:val="2DA07582"/>
    <w:rsid w:val="2DA4197D"/>
    <w:rsid w:val="2DE94173"/>
    <w:rsid w:val="2DEF4984"/>
    <w:rsid w:val="2E152C29"/>
    <w:rsid w:val="2E156CDB"/>
    <w:rsid w:val="2E251465"/>
    <w:rsid w:val="2E480C4E"/>
    <w:rsid w:val="2E4D57CB"/>
    <w:rsid w:val="2E752D4F"/>
    <w:rsid w:val="2E967D25"/>
    <w:rsid w:val="2EAF39E7"/>
    <w:rsid w:val="2EC66BEC"/>
    <w:rsid w:val="2EC66F2A"/>
    <w:rsid w:val="2F100CA4"/>
    <w:rsid w:val="2F2149A4"/>
    <w:rsid w:val="2F3632AD"/>
    <w:rsid w:val="2F3F2280"/>
    <w:rsid w:val="2F6B429D"/>
    <w:rsid w:val="2F863641"/>
    <w:rsid w:val="2F870BDB"/>
    <w:rsid w:val="2F8A4067"/>
    <w:rsid w:val="2F955DB5"/>
    <w:rsid w:val="2F972DC8"/>
    <w:rsid w:val="2FBA34B0"/>
    <w:rsid w:val="30061472"/>
    <w:rsid w:val="300C5A98"/>
    <w:rsid w:val="300F5BA9"/>
    <w:rsid w:val="30206517"/>
    <w:rsid w:val="302F57C8"/>
    <w:rsid w:val="30363396"/>
    <w:rsid w:val="303B1EC0"/>
    <w:rsid w:val="30A64E9F"/>
    <w:rsid w:val="30C512A1"/>
    <w:rsid w:val="30D93CA8"/>
    <w:rsid w:val="30F07D7F"/>
    <w:rsid w:val="30FA1AA6"/>
    <w:rsid w:val="31311CC7"/>
    <w:rsid w:val="313D0D38"/>
    <w:rsid w:val="31442DFD"/>
    <w:rsid w:val="31681DA0"/>
    <w:rsid w:val="31941AE8"/>
    <w:rsid w:val="31973895"/>
    <w:rsid w:val="319F39D0"/>
    <w:rsid w:val="31C15209"/>
    <w:rsid w:val="31DA3533"/>
    <w:rsid w:val="31E65DA2"/>
    <w:rsid w:val="31F83AE8"/>
    <w:rsid w:val="31F919D3"/>
    <w:rsid w:val="31FA6573"/>
    <w:rsid w:val="321C4E0D"/>
    <w:rsid w:val="327E7DEC"/>
    <w:rsid w:val="327F5F82"/>
    <w:rsid w:val="328053AA"/>
    <w:rsid w:val="32AD1D4A"/>
    <w:rsid w:val="32E023D8"/>
    <w:rsid w:val="32E0276F"/>
    <w:rsid w:val="32F939BC"/>
    <w:rsid w:val="33177D65"/>
    <w:rsid w:val="33181E2E"/>
    <w:rsid w:val="3355184F"/>
    <w:rsid w:val="336B2E33"/>
    <w:rsid w:val="337A34ED"/>
    <w:rsid w:val="338E02E5"/>
    <w:rsid w:val="339C5665"/>
    <w:rsid w:val="33C916A7"/>
    <w:rsid w:val="33CE619D"/>
    <w:rsid w:val="342F7C74"/>
    <w:rsid w:val="3432307C"/>
    <w:rsid w:val="34455999"/>
    <w:rsid w:val="345A3DDE"/>
    <w:rsid w:val="34605296"/>
    <w:rsid w:val="347747F1"/>
    <w:rsid w:val="34BE4D46"/>
    <w:rsid w:val="34C07EE4"/>
    <w:rsid w:val="34CA6642"/>
    <w:rsid w:val="34F96E2F"/>
    <w:rsid w:val="35166B77"/>
    <w:rsid w:val="352814B7"/>
    <w:rsid w:val="352F6E01"/>
    <w:rsid w:val="354F3699"/>
    <w:rsid w:val="355677AC"/>
    <w:rsid w:val="355D3B42"/>
    <w:rsid w:val="357B4755"/>
    <w:rsid w:val="357E6ABE"/>
    <w:rsid w:val="358B5219"/>
    <w:rsid w:val="35B04E48"/>
    <w:rsid w:val="35C42BF7"/>
    <w:rsid w:val="35E97B57"/>
    <w:rsid w:val="360F276D"/>
    <w:rsid w:val="362B0117"/>
    <w:rsid w:val="36807585"/>
    <w:rsid w:val="369750A6"/>
    <w:rsid w:val="36A978A8"/>
    <w:rsid w:val="36C17749"/>
    <w:rsid w:val="36C94113"/>
    <w:rsid w:val="36DD78C5"/>
    <w:rsid w:val="36F516F7"/>
    <w:rsid w:val="36F72192"/>
    <w:rsid w:val="370078FC"/>
    <w:rsid w:val="37044AB6"/>
    <w:rsid w:val="370F2EB0"/>
    <w:rsid w:val="373E0DEE"/>
    <w:rsid w:val="3744612C"/>
    <w:rsid w:val="376243E1"/>
    <w:rsid w:val="377665FB"/>
    <w:rsid w:val="378503FE"/>
    <w:rsid w:val="379506D2"/>
    <w:rsid w:val="37BD4C09"/>
    <w:rsid w:val="37C53965"/>
    <w:rsid w:val="37D23AD4"/>
    <w:rsid w:val="37D727B5"/>
    <w:rsid w:val="37D75F52"/>
    <w:rsid w:val="37DC5E96"/>
    <w:rsid w:val="37E945EC"/>
    <w:rsid w:val="37F924AD"/>
    <w:rsid w:val="37FD09DB"/>
    <w:rsid w:val="38057713"/>
    <w:rsid w:val="38240A6C"/>
    <w:rsid w:val="38273DCB"/>
    <w:rsid w:val="382F5697"/>
    <w:rsid w:val="38300382"/>
    <w:rsid w:val="38697DA0"/>
    <w:rsid w:val="38767894"/>
    <w:rsid w:val="38774A02"/>
    <w:rsid w:val="38776247"/>
    <w:rsid w:val="38AB68C4"/>
    <w:rsid w:val="38E64E17"/>
    <w:rsid w:val="39037173"/>
    <w:rsid w:val="393949FE"/>
    <w:rsid w:val="39767BA0"/>
    <w:rsid w:val="39982147"/>
    <w:rsid w:val="39A81458"/>
    <w:rsid w:val="39BF7E5F"/>
    <w:rsid w:val="39CE57C6"/>
    <w:rsid w:val="39EE087E"/>
    <w:rsid w:val="39F570E9"/>
    <w:rsid w:val="3A033020"/>
    <w:rsid w:val="3A4F6F21"/>
    <w:rsid w:val="3A5D2399"/>
    <w:rsid w:val="3A6478C3"/>
    <w:rsid w:val="3A686D63"/>
    <w:rsid w:val="3A7F3C1A"/>
    <w:rsid w:val="3A9414FF"/>
    <w:rsid w:val="3A9A04F0"/>
    <w:rsid w:val="3ABD46FB"/>
    <w:rsid w:val="3AC0034B"/>
    <w:rsid w:val="3AD05913"/>
    <w:rsid w:val="3AE10A34"/>
    <w:rsid w:val="3B1651CC"/>
    <w:rsid w:val="3B391869"/>
    <w:rsid w:val="3B432DE3"/>
    <w:rsid w:val="3B4E05AD"/>
    <w:rsid w:val="3B640261"/>
    <w:rsid w:val="3B83199C"/>
    <w:rsid w:val="3BD258D6"/>
    <w:rsid w:val="3BF1280B"/>
    <w:rsid w:val="3BF852FE"/>
    <w:rsid w:val="3BFC1657"/>
    <w:rsid w:val="3C582186"/>
    <w:rsid w:val="3C585BA1"/>
    <w:rsid w:val="3C630889"/>
    <w:rsid w:val="3CA65700"/>
    <w:rsid w:val="3CF43315"/>
    <w:rsid w:val="3D462158"/>
    <w:rsid w:val="3D7B4E9B"/>
    <w:rsid w:val="3D943052"/>
    <w:rsid w:val="3DD63AC8"/>
    <w:rsid w:val="3DDC0FF0"/>
    <w:rsid w:val="3DE36C80"/>
    <w:rsid w:val="3DE773AA"/>
    <w:rsid w:val="3DF26391"/>
    <w:rsid w:val="3DF6713E"/>
    <w:rsid w:val="3DFE7A56"/>
    <w:rsid w:val="3E2D699B"/>
    <w:rsid w:val="3E366F1A"/>
    <w:rsid w:val="3E3A4167"/>
    <w:rsid w:val="3E4B6E38"/>
    <w:rsid w:val="3E4F6940"/>
    <w:rsid w:val="3E576E96"/>
    <w:rsid w:val="3E621994"/>
    <w:rsid w:val="3E917126"/>
    <w:rsid w:val="3E953D29"/>
    <w:rsid w:val="3EA953C6"/>
    <w:rsid w:val="3EB63A85"/>
    <w:rsid w:val="3ED45DFD"/>
    <w:rsid w:val="3F014B19"/>
    <w:rsid w:val="3F0F0549"/>
    <w:rsid w:val="3F160FB5"/>
    <w:rsid w:val="3F2C530B"/>
    <w:rsid w:val="3F2F1258"/>
    <w:rsid w:val="3F46079C"/>
    <w:rsid w:val="3F4A7DDF"/>
    <w:rsid w:val="3F562EA9"/>
    <w:rsid w:val="3F6536EF"/>
    <w:rsid w:val="3F935563"/>
    <w:rsid w:val="3FC05CA3"/>
    <w:rsid w:val="3FCD6E15"/>
    <w:rsid w:val="3FD650E2"/>
    <w:rsid w:val="40050BBA"/>
    <w:rsid w:val="400E47C8"/>
    <w:rsid w:val="402D6DFC"/>
    <w:rsid w:val="406B7390"/>
    <w:rsid w:val="40793922"/>
    <w:rsid w:val="407A0F29"/>
    <w:rsid w:val="407D7819"/>
    <w:rsid w:val="40890B0B"/>
    <w:rsid w:val="408F46C2"/>
    <w:rsid w:val="40B667A5"/>
    <w:rsid w:val="40C31C32"/>
    <w:rsid w:val="40C44EFC"/>
    <w:rsid w:val="40C96BF4"/>
    <w:rsid w:val="40CE0A3D"/>
    <w:rsid w:val="40D3213B"/>
    <w:rsid w:val="40E25499"/>
    <w:rsid w:val="40F32150"/>
    <w:rsid w:val="40FF546A"/>
    <w:rsid w:val="41070E97"/>
    <w:rsid w:val="41100797"/>
    <w:rsid w:val="41536BE7"/>
    <w:rsid w:val="4181242D"/>
    <w:rsid w:val="41990F94"/>
    <w:rsid w:val="419C1A46"/>
    <w:rsid w:val="41D529F1"/>
    <w:rsid w:val="41ED79B6"/>
    <w:rsid w:val="420E5E45"/>
    <w:rsid w:val="42237338"/>
    <w:rsid w:val="422C1FD4"/>
    <w:rsid w:val="42361C58"/>
    <w:rsid w:val="42422AE5"/>
    <w:rsid w:val="42890096"/>
    <w:rsid w:val="42991BA4"/>
    <w:rsid w:val="42B0053E"/>
    <w:rsid w:val="42EF4CB7"/>
    <w:rsid w:val="42FD79F1"/>
    <w:rsid w:val="43282FED"/>
    <w:rsid w:val="43332B56"/>
    <w:rsid w:val="437D53C4"/>
    <w:rsid w:val="438152AA"/>
    <w:rsid w:val="43857F59"/>
    <w:rsid w:val="439D5825"/>
    <w:rsid w:val="43AA4CCB"/>
    <w:rsid w:val="43B03FB5"/>
    <w:rsid w:val="43E330AC"/>
    <w:rsid w:val="43F323CA"/>
    <w:rsid w:val="43FE0BEA"/>
    <w:rsid w:val="44226D4D"/>
    <w:rsid w:val="443769B5"/>
    <w:rsid w:val="444113E3"/>
    <w:rsid w:val="44411914"/>
    <w:rsid w:val="444455F0"/>
    <w:rsid w:val="444A527E"/>
    <w:rsid w:val="44647A95"/>
    <w:rsid w:val="44652605"/>
    <w:rsid w:val="44CF18C7"/>
    <w:rsid w:val="44FA2FE1"/>
    <w:rsid w:val="44FD2276"/>
    <w:rsid w:val="4519727B"/>
    <w:rsid w:val="451F1697"/>
    <w:rsid w:val="454076F6"/>
    <w:rsid w:val="454C38DC"/>
    <w:rsid w:val="454F78F6"/>
    <w:rsid w:val="45672AE9"/>
    <w:rsid w:val="45F700DF"/>
    <w:rsid w:val="460F1BFB"/>
    <w:rsid w:val="462129D6"/>
    <w:rsid w:val="462A4220"/>
    <w:rsid w:val="46352FC3"/>
    <w:rsid w:val="466355DF"/>
    <w:rsid w:val="46AC3867"/>
    <w:rsid w:val="46F16035"/>
    <w:rsid w:val="46F91F87"/>
    <w:rsid w:val="471539D8"/>
    <w:rsid w:val="47465A3B"/>
    <w:rsid w:val="474B0534"/>
    <w:rsid w:val="475B6827"/>
    <w:rsid w:val="4760524D"/>
    <w:rsid w:val="477B3E55"/>
    <w:rsid w:val="47996460"/>
    <w:rsid w:val="47AA0745"/>
    <w:rsid w:val="47C2644E"/>
    <w:rsid w:val="47CF3063"/>
    <w:rsid w:val="47D84CA1"/>
    <w:rsid w:val="47DE5D4B"/>
    <w:rsid w:val="47E53548"/>
    <w:rsid w:val="47F53AF4"/>
    <w:rsid w:val="48031721"/>
    <w:rsid w:val="48381CBB"/>
    <w:rsid w:val="48662435"/>
    <w:rsid w:val="486E203E"/>
    <w:rsid w:val="48741EA5"/>
    <w:rsid w:val="487B3514"/>
    <w:rsid w:val="48834D60"/>
    <w:rsid w:val="4894256C"/>
    <w:rsid w:val="489F7310"/>
    <w:rsid w:val="48A537A8"/>
    <w:rsid w:val="48B84A2C"/>
    <w:rsid w:val="48CF4E1C"/>
    <w:rsid w:val="48F817D2"/>
    <w:rsid w:val="49020077"/>
    <w:rsid w:val="49046219"/>
    <w:rsid w:val="490809E9"/>
    <w:rsid w:val="491B3EE3"/>
    <w:rsid w:val="492878B5"/>
    <w:rsid w:val="496575E0"/>
    <w:rsid w:val="497C23E6"/>
    <w:rsid w:val="49915EA7"/>
    <w:rsid w:val="49D151F5"/>
    <w:rsid w:val="49F475B6"/>
    <w:rsid w:val="4A3567B0"/>
    <w:rsid w:val="4A494BFA"/>
    <w:rsid w:val="4A5A0CFA"/>
    <w:rsid w:val="4A80383C"/>
    <w:rsid w:val="4AB12B86"/>
    <w:rsid w:val="4AF72673"/>
    <w:rsid w:val="4B121CD9"/>
    <w:rsid w:val="4B2D6C11"/>
    <w:rsid w:val="4B791C7C"/>
    <w:rsid w:val="4BB90096"/>
    <w:rsid w:val="4BBF1E7E"/>
    <w:rsid w:val="4BE83FA5"/>
    <w:rsid w:val="4BEE1B13"/>
    <w:rsid w:val="4C136720"/>
    <w:rsid w:val="4C3837A1"/>
    <w:rsid w:val="4C3D70DC"/>
    <w:rsid w:val="4C3F10CF"/>
    <w:rsid w:val="4C4B7D5A"/>
    <w:rsid w:val="4C5A360D"/>
    <w:rsid w:val="4C6669A4"/>
    <w:rsid w:val="4C6C0104"/>
    <w:rsid w:val="4C8320B9"/>
    <w:rsid w:val="4C8D5282"/>
    <w:rsid w:val="4C920F01"/>
    <w:rsid w:val="4CF254AA"/>
    <w:rsid w:val="4D00097B"/>
    <w:rsid w:val="4D162841"/>
    <w:rsid w:val="4D19558D"/>
    <w:rsid w:val="4D391BFE"/>
    <w:rsid w:val="4D45174B"/>
    <w:rsid w:val="4D5F2BEA"/>
    <w:rsid w:val="4D600FB4"/>
    <w:rsid w:val="4D983F88"/>
    <w:rsid w:val="4D9D4314"/>
    <w:rsid w:val="4DA52C4B"/>
    <w:rsid w:val="4DB05A11"/>
    <w:rsid w:val="4DB55300"/>
    <w:rsid w:val="4DBB777B"/>
    <w:rsid w:val="4DF54E18"/>
    <w:rsid w:val="4DFD5374"/>
    <w:rsid w:val="4E041B16"/>
    <w:rsid w:val="4E5625A3"/>
    <w:rsid w:val="4E707A45"/>
    <w:rsid w:val="4E7444DA"/>
    <w:rsid w:val="4E845E2E"/>
    <w:rsid w:val="4E9B2571"/>
    <w:rsid w:val="4EA1055B"/>
    <w:rsid w:val="4EA80996"/>
    <w:rsid w:val="4EB7187F"/>
    <w:rsid w:val="4EC0251C"/>
    <w:rsid w:val="4EC50ED1"/>
    <w:rsid w:val="4F0022C1"/>
    <w:rsid w:val="4F057FFA"/>
    <w:rsid w:val="4F3804B1"/>
    <w:rsid w:val="4F393139"/>
    <w:rsid w:val="4F660E43"/>
    <w:rsid w:val="4F665BFF"/>
    <w:rsid w:val="4F682ACD"/>
    <w:rsid w:val="4F705C35"/>
    <w:rsid w:val="4F9A604C"/>
    <w:rsid w:val="4FEB5502"/>
    <w:rsid w:val="4FF767ED"/>
    <w:rsid w:val="503F3016"/>
    <w:rsid w:val="50433976"/>
    <w:rsid w:val="504D52D0"/>
    <w:rsid w:val="50517868"/>
    <w:rsid w:val="507210C5"/>
    <w:rsid w:val="50A96111"/>
    <w:rsid w:val="50B42FAC"/>
    <w:rsid w:val="50E1576C"/>
    <w:rsid w:val="50F141DE"/>
    <w:rsid w:val="50FD1D9B"/>
    <w:rsid w:val="51371AFC"/>
    <w:rsid w:val="516A2C52"/>
    <w:rsid w:val="516A36AD"/>
    <w:rsid w:val="516D39BA"/>
    <w:rsid w:val="517863F1"/>
    <w:rsid w:val="518C2ACE"/>
    <w:rsid w:val="519D7AA9"/>
    <w:rsid w:val="51D172A6"/>
    <w:rsid w:val="51F23EE5"/>
    <w:rsid w:val="52167901"/>
    <w:rsid w:val="522212E9"/>
    <w:rsid w:val="52247CBA"/>
    <w:rsid w:val="522A28F0"/>
    <w:rsid w:val="528738AD"/>
    <w:rsid w:val="528F6F3B"/>
    <w:rsid w:val="5290091A"/>
    <w:rsid w:val="52D61E00"/>
    <w:rsid w:val="53143941"/>
    <w:rsid w:val="5320112B"/>
    <w:rsid w:val="53365F8D"/>
    <w:rsid w:val="53547A01"/>
    <w:rsid w:val="53680157"/>
    <w:rsid w:val="537C0D31"/>
    <w:rsid w:val="53827780"/>
    <w:rsid w:val="5387085C"/>
    <w:rsid w:val="53D817F4"/>
    <w:rsid w:val="53E122BB"/>
    <w:rsid w:val="53EA2A56"/>
    <w:rsid w:val="53F22479"/>
    <w:rsid w:val="53FF15DF"/>
    <w:rsid w:val="543A2932"/>
    <w:rsid w:val="545E1A58"/>
    <w:rsid w:val="547B7361"/>
    <w:rsid w:val="54826570"/>
    <w:rsid w:val="54C725E5"/>
    <w:rsid w:val="54F354D4"/>
    <w:rsid w:val="550220E1"/>
    <w:rsid w:val="550C4C5D"/>
    <w:rsid w:val="550E6D42"/>
    <w:rsid w:val="55383ADC"/>
    <w:rsid w:val="55406BC3"/>
    <w:rsid w:val="555D12E8"/>
    <w:rsid w:val="55877DAB"/>
    <w:rsid w:val="55911816"/>
    <w:rsid w:val="56001101"/>
    <w:rsid w:val="561B21A7"/>
    <w:rsid w:val="561F4F22"/>
    <w:rsid w:val="562134F2"/>
    <w:rsid w:val="564B5F37"/>
    <w:rsid w:val="56BD24CC"/>
    <w:rsid w:val="56BF086D"/>
    <w:rsid w:val="56CE22FD"/>
    <w:rsid w:val="56D402A8"/>
    <w:rsid w:val="56EB2C41"/>
    <w:rsid w:val="571C2B5F"/>
    <w:rsid w:val="57414A4C"/>
    <w:rsid w:val="575E26FB"/>
    <w:rsid w:val="5793189B"/>
    <w:rsid w:val="57BE7E28"/>
    <w:rsid w:val="57C263DC"/>
    <w:rsid w:val="57E30153"/>
    <w:rsid w:val="5837696C"/>
    <w:rsid w:val="58436C63"/>
    <w:rsid w:val="5847355F"/>
    <w:rsid w:val="586769BB"/>
    <w:rsid w:val="586C55CF"/>
    <w:rsid w:val="586F5D9C"/>
    <w:rsid w:val="58C1644F"/>
    <w:rsid w:val="58D8429A"/>
    <w:rsid w:val="58E115AE"/>
    <w:rsid w:val="58E8538C"/>
    <w:rsid w:val="58EB4B96"/>
    <w:rsid w:val="58FB5BB0"/>
    <w:rsid w:val="59026F96"/>
    <w:rsid w:val="59106483"/>
    <w:rsid w:val="59437AFD"/>
    <w:rsid w:val="59521E0D"/>
    <w:rsid w:val="595559C3"/>
    <w:rsid w:val="595E7803"/>
    <w:rsid w:val="59650E52"/>
    <w:rsid w:val="599D23AD"/>
    <w:rsid w:val="59A23513"/>
    <w:rsid w:val="59AC3330"/>
    <w:rsid w:val="59AD6804"/>
    <w:rsid w:val="59C05D84"/>
    <w:rsid w:val="59D05DE5"/>
    <w:rsid w:val="59D67756"/>
    <w:rsid w:val="59D91F2F"/>
    <w:rsid w:val="59F5087B"/>
    <w:rsid w:val="5A2214F0"/>
    <w:rsid w:val="5A361017"/>
    <w:rsid w:val="5A3F3B2B"/>
    <w:rsid w:val="5AA6292C"/>
    <w:rsid w:val="5AB045FE"/>
    <w:rsid w:val="5AD044AB"/>
    <w:rsid w:val="5AD26C24"/>
    <w:rsid w:val="5B0A25DD"/>
    <w:rsid w:val="5B1515D2"/>
    <w:rsid w:val="5B181B7A"/>
    <w:rsid w:val="5B492C39"/>
    <w:rsid w:val="5B506BC2"/>
    <w:rsid w:val="5B5E6350"/>
    <w:rsid w:val="5B624C97"/>
    <w:rsid w:val="5B627A0E"/>
    <w:rsid w:val="5B69486A"/>
    <w:rsid w:val="5B713CED"/>
    <w:rsid w:val="5B7279AC"/>
    <w:rsid w:val="5BA450B2"/>
    <w:rsid w:val="5C280EBA"/>
    <w:rsid w:val="5C487C23"/>
    <w:rsid w:val="5C5667F9"/>
    <w:rsid w:val="5C7273D2"/>
    <w:rsid w:val="5C952ECB"/>
    <w:rsid w:val="5CA0266A"/>
    <w:rsid w:val="5CAA70D3"/>
    <w:rsid w:val="5CBD34AC"/>
    <w:rsid w:val="5CDF343E"/>
    <w:rsid w:val="5D0C0AE5"/>
    <w:rsid w:val="5D3E0D2D"/>
    <w:rsid w:val="5D4D098F"/>
    <w:rsid w:val="5D647619"/>
    <w:rsid w:val="5D7C1B0C"/>
    <w:rsid w:val="5DF84C5A"/>
    <w:rsid w:val="5E4100B9"/>
    <w:rsid w:val="5E4E6B5A"/>
    <w:rsid w:val="5E88701A"/>
    <w:rsid w:val="5ECE5F29"/>
    <w:rsid w:val="5ECF6F1A"/>
    <w:rsid w:val="5EED6B33"/>
    <w:rsid w:val="5EFC3109"/>
    <w:rsid w:val="5F04459E"/>
    <w:rsid w:val="5F085C33"/>
    <w:rsid w:val="5F366938"/>
    <w:rsid w:val="5F4072DB"/>
    <w:rsid w:val="5F4F2403"/>
    <w:rsid w:val="5F6617DA"/>
    <w:rsid w:val="5F6D10FF"/>
    <w:rsid w:val="5FAB406A"/>
    <w:rsid w:val="5FCD3639"/>
    <w:rsid w:val="5FDE289E"/>
    <w:rsid w:val="5FE417ED"/>
    <w:rsid w:val="60095E75"/>
    <w:rsid w:val="60233735"/>
    <w:rsid w:val="60244BCB"/>
    <w:rsid w:val="60525086"/>
    <w:rsid w:val="6075024B"/>
    <w:rsid w:val="60856305"/>
    <w:rsid w:val="60AA7DD1"/>
    <w:rsid w:val="60B07BF4"/>
    <w:rsid w:val="60B8050B"/>
    <w:rsid w:val="60BD2DE2"/>
    <w:rsid w:val="60F02EB1"/>
    <w:rsid w:val="60F1091F"/>
    <w:rsid w:val="60F611C8"/>
    <w:rsid w:val="610A6790"/>
    <w:rsid w:val="612C639A"/>
    <w:rsid w:val="614E7302"/>
    <w:rsid w:val="61B17B10"/>
    <w:rsid w:val="61CF3E78"/>
    <w:rsid w:val="61D82943"/>
    <w:rsid w:val="61DA6165"/>
    <w:rsid w:val="62166A06"/>
    <w:rsid w:val="621B6CB7"/>
    <w:rsid w:val="621C16B2"/>
    <w:rsid w:val="623E1974"/>
    <w:rsid w:val="6252226E"/>
    <w:rsid w:val="62586D9F"/>
    <w:rsid w:val="627A2D62"/>
    <w:rsid w:val="6291487D"/>
    <w:rsid w:val="62A4005E"/>
    <w:rsid w:val="62AE2F5D"/>
    <w:rsid w:val="62BD07F9"/>
    <w:rsid w:val="62C60701"/>
    <w:rsid w:val="62D32112"/>
    <w:rsid w:val="62EA6A75"/>
    <w:rsid w:val="630E4C01"/>
    <w:rsid w:val="632F5B91"/>
    <w:rsid w:val="63493BE1"/>
    <w:rsid w:val="637E6B96"/>
    <w:rsid w:val="637F0C48"/>
    <w:rsid w:val="639441A3"/>
    <w:rsid w:val="63EB454F"/>
    <w:rsid w:val="63EC1E32"/>
    <w:rsid w:val="63ED3176"/>
    <w:rsid w:val="63F13740"/>
    <w:rsid w:val="63F54F07"/>
    <w:rsid w:val="64155696"/>
    <w:rsid w:val="64360581"/>
    <w:rsid w:val="645E7262"/>
    <w:rsid w:val="646B649C"/>
    <w:rsid w:val="647E22C2"/>
    <w:rsid w:val="649C1890"/>
    <w:rsid w:val="64B561F9"/>
    <w:rsid w:val="64D17F18"/>
    <w:rsid w:val="64FC37EA"/>
    <w:rsid w:val="650627BD"/>
    <w:rsid w:val="65156E3B"/>
    <w:rsid w:val="651B5AE2"/>
    <w:rsid w:val="651E6C26"/>
    <w:rsid w:val="652A60EC"/>
    <w:rsid w:val="65320D47"/>
    <w:rsid w:val="654B1929"/>
    <w:rsid w:val="654C5B25"/>
    <w:rsid w:val="65791846"/>
    <w:rsid w:val="658112A3"/>
    <w:rsid w:val="65840147"/>
    <w:rsid w:val="65946428"/>
    <w:rsid w:val="65980BA6"/>
    <w:rsid w:val="65A4789B"/>
    <w:rsid w:val="65D75275"/>
    <w:rsid w:val="65DE445D"/>
    <w:rsid w:val="661A6FDA"/>
    <w:rsid w:val="662042A5"/>
    <w:rsid w:val="6620776A"/>
    <w:rsid w:val="662F2B32"/>
    <w:rsid w:val="66775A5D"/>
    <w:rsid w:val="669F09F0"/>
    <w:rsid w:val="66BB435A"/>
    <w:rsid w:val="66DC6C78"/>
    <w:rsid w:val="67036057"/>
    <w:rsid w:val="670A333E"/>
    <w:rsid w:val="670E6D3B"/>
    <w:rsid w:val="671D7127"/>
    <w:rsid w:val="673E2F77"/>
    <w:rsid w:val="67437621"/>
    <w:rsid w:val="679112C4"/>
    <w:rsid w:val="67CF31B5"/>
    <w:rsid w:val="67ED712C"/>
    <w:rsid w:val="682875FC"/>
    <w:rsid w:val="68311DD1"/>
    <w:rsid w:val="683D4138"/>
    <w:rsid w:val="68475CA1"/>
    <w:rsid w:val="685555F1"/>
    <w:rsid w:val="685D304F"/>
    <w:rsid w:val="685E0694"/>
    <w:rsid w:val="68BF4122"/>
    <w:rsid w:val="68D553E2"/>
    <w:rsid w:val="68F6045B"/>
    <w:rsid w:val="68F824F1"/>
    <w:rsid w:val="68FC17B6"/>
    <w:rsid w:val="69080039"/>
    <w:rsid w:val="692C7515"/>
    <w:rsid w:val="69496B46"/>
    <w:rsid w:val="696072B3"/>
    <w:rsid w:val="69652DB8"/>
    <w:rsid w:val="696B147F"/>
    <w:rsid w:val="698A4AA4"/>
    <w:rsid w:val="698B3BFD"/>
    <w:rsid w:val="69931387"/>
    <w:rsid w:val="69DA6070"/>
    <w:rsid w:val="69E97744"/>
    <w:rsid w:val="6A1B7827"/>
    <w:rsid w:val="6A2251B2"/>
    <w:rsid w:val="6A2C3DDB"/>
    <w:rsid w:val="6A3605A1"/>
    <w:rsid w:val="6A377FF3"/>
    <w:rsid w:val="6A3B1AC5"/>
    <w:rsid w:val="6A4D4EC4"/>
    <w:rsid w:val="6A827E80"/>
    <w:rsid w:val="6A880B89"/>
    <w:rsid w:val="6AA0475D"/>
    <w:rsid w:val="6AB00633"/>
    <w:rsid w:val="6AB42F27"/>
    <w:rsid w:val="6AB522F1"/>
    <w:rsid w:val="6AB54E50"/>
    <w:rsid w:val="6ABD604E"/>
    <w:rsid w:val="6AC0772F"/>
    <w:rsid w:val="6AD01357"/>
    <w:rsid w:val="6AD675DE"/>
    <w:rsid w:val="6ADB278D"/>
    <w:rsid w:val="6AE32818"/>
    <w:rsid w:val="6AE97941"/>
    <w:rsid w:val="6B1037FF"/>
    <w:rsid w:val="6B1528F6"/>
    <w:rsid w:val="6B321432"/>
    <w:rsid w:val="6B323760"/>
    <w:rsid w:val="6B4A5D7F"/>
    <w:rsid w:val="6B7333D0"/>
    <w:rsid w:val="6B9628C8"/>
    <w:rsid w:val="6BC759E1"/>
    <w:rsid w:val="6BDB640D"/>
    <w:rsid w:val="6C3B4B0A"/>
    <w:rsid w:val="6C6A1AC5"/>
    <w:rsid w:val="6C6D16E6"/>
    <w:rsid w:val="6C7E7709"/>
    <w:rsid w:val="6C820037"/>
    <w:rsid w:val="6C903C6C"/>
    <w:rsid w:val="6C9E359F"/>
    <w:rsid w:val="6CBD23EE"/>
    <w:rsid w:val="6CC05EB7"/>
    <w:rsid w:val="6CD81960"/>
    <w:rsid w:val="6CE64EAA"/>
    <w:rsid w:val="6CE900FB"/>
    <w:rsid w:val="6CFE2F1D"/>
    <w:rsid w:val="6D017FE0"/>
    <w:rsid w:val="6D06034C"/>
    <w:rsid w:val="6D105C48"/>
    <w:rsid w:val="6D141A4A"/>
    <w:rsid w:val="6D2C31FA"/>
    <w:rsid w:val="6D3073EF"/>
    <w:rsid w:val="6D3775CB"/>
    <w:rsid w:val="6D6452E1"/>
    <w:rsid w:val="6D70598C"/>
    <w:rsid w:val="6D732F50"/>
    <w:rsid w:val="6D73547B"/>
    <w:rsid w:val="6D9E22A9"/>
    <w:rsid w:val="6DB405A6"/>
    <w:rsid w:val="6DC33F08"/>
    <w:rsid w:val="6DC36C56"/>
    <w:rsid w:val="6DEA7655"/>
    <w:rsid w:val="6E4E3AEE"/>
    <w:rsid w:val="6E5A6D88"/>
    <w:rsid w:val="6E6D4BE3"/>
    <w:rsid w:val="6E8E729B"/>
    <w:rsid w:val="6EC229F4"/>
    <w:rsid w:val="6EC87924"/>
    <w:rsid w:val="6ECB4A4E"/>
    <w:rsid w:val="6EFE5328"/>
    <w:rsid w:val="6F0150FE"/>
    <w:rsid w:val="6F1451F8"/>
    <w:rsid w:val="6F20175A"/>
    <w:rsid w:val="6F44712B"/>
    <w:rsid w:val="6F4C727F"/>
    <w:rsid w:val="6F5748D8"/>
    <w:rsid w:val="6F9B1910"/>
    <w:rsid w:val="6F9D4657"/>
    <w:rsid w:val="6FBF09DD"/>
    <w:rsid w:val="6FBF1988"/>
    <w:rsid w:val="6FFE412A"/>
    <w:rsid w:val="700677E3"/>
    <w:rsid w:val="700D0ED9"/>
    <w:rsid w:val="703A1128"/>
    <w:rsid w:val="703C115F"/>
    <w:rsid w:val="70434F6F"/>
    <w:rsid w:val="705B1234"/>
    <w:rsid w:val="70653CB9"/>
    <w:rsid w:val="70977111"/>
    <w:rsid w:val="711D5BEC"/>
    <w:rsid w:val="712009AC"/>
    <w:rsid w:val="714F703F"/>
    <w:rsid w:val="719B0A42"/>
    <w:rsid w:val="71BD6D42"/>
    <w:rsid w:val="71C8323A"/>
    <w:rsid w:val="71D20C4E"/>
    <w:rsid w:val="71D764D8"/>
    <w:rsid w:val="71FE647C"/>
    <w:rsid w:val="72065332"/>
    <w:rsid w:val="722A5049"/>
    <w:rsid w:val="7234377D"/>
    <w:rsid w:val="72345B7D"/>
    <w:rsid w:val="726E02F2"/>
    <w:rsid w:val="72792093"/>
    <w:rsid w:val="727B087C"/>
    <w:rsid w:val="72F87DAA"/>
    <w:rsid w:val="730E2F07"/>
    <w:rsid w:val="73187A22"/>
    <w:rsid w:val="732B7135"/>
    <w:rsid w:val="73343AB0"/>
    <w:rsid w:val="736328B5"/>
    <w:rsid w:val="736D430E"/>
    <w:rsid w:val="7379728F"/>
    <w:rsid w:val="737C6511"/>
    <w:rsid w:val="738047E5"/>
    <w:rsid w:val="73843796"/>
    <w:rsid w:val="738543F5"/>
    <w:rsid w:val="738E3CDF"/>
    <w:rsid w:val="73AA4A5B"/>
    <w:rsid w:val="73ED118B"/>
    <w:rsid w:val="73F60698"/>
    <w:rsid w:val="7406336F"/>
    <w:rsid w:val="740F2DD1"/>
    <w:rsid w:val="741D2E18"/>
    <w:rsid w:val="742D0D5D"/>
    <w:rsid w:val="743C66DF"/>
    <w:rsid w:val="743D2B8F"/>
    <w:rsid w:val="744C75EA"/>
    <w:rsid w:val="747305AC"/>
    <w:rsid w:val="748C1D8E"/>
    <w:rsid w:val="74A854D1"/>
    <w:rsid w:val="74AE2E7F"/>
    <w:rsid w:val="74BB7088"/>
    <w:rsid w:val="74C22A16"/>
    <w:rsid w:val="74C54D71"/>
    <w:rsid w:val="74D1325E"/>
    <w:rsid w:val="74F4166B"/>
    <w:rsid w:val="7516129B"/>
    <w:rsid w:val="753F4D8E"/>
    <w:rsid w:val="75431EEC"/>
    <w:rsid w:val="754D3BB9"/>
    <w:rsid w:val="7557182A"/>
    <w:rsid w:val="75E82905"/>
    <w:rsid w:val="75E9723D"/>
    <w:rsid w:val="76224DC1"/>
    <w:rsid w:val="765164AE"/>
    <w:rsid w:val="76931303"/>
    <w:rsid w:val="76961977"/>
    <w:rsid w:val="76C67298"/>
    <w:rsid w:val="76CE7F45"/>
    <w:rsid w:val="76F33E98"/>
    <w:rsid w:val="77067D67"/>
    <w:rsid w:val="770878CA"/>
    <w:rsid w:val="770D66B6"/>
    <w:rsid w:val="772B13FA"/>
    <w:rsid w:val="775721F3"/>
    <w:rsid w:val="77633817"/>
    <w:rsid w:val="77741A2D"/>
    <w:rsid w:val="778076DA"/>
    <w:rsid w:val="778362B0"/>
    <w:rsid w:val="77A477AE"/>
    <w:rsid w:val="77BD500C"/>
    <w:rsid w:val="77CB2D7B"/>
    <w:rsid w:val="77E46CE6"/>
    <w:rsid w:val="77FF1DA2"/>
    <w:rsid w:val="7812130D"/>
    <w:rsid w:val="78494BF0"/>
    <w:rsid w:val="787B638B"/>
    <w:rsid w:val="787C085C"/>
    <w:rsid w:val="788F491B"/>
    <w:rsid w:val="78AB54AE"/>
    <w:rsid w:val="78C26EC6"/>
    <w:rsid w:val="78C32487"/>
    <w:rsid w:val="78DE720F"/>
    <w:rsid w:val="78EF3C59"/>
    <w:rsid w:val="78F84040"/>
    <w:rsid w:val="79397EF2"/>
    <w:rsid w:val="79602ADF"/>
    <w:rsid w:val="799E3A85"/>
    <w:rsid w:val="79A36A3E"/>
    <w:rsid w:val="79BD1A5A"/>
    <w:rsid w:val="79BE08E7"/>
    <w:rsid w:val="79DC6AED"/>
    <w:rsid w:val="79F03A5A"/>
    <w:rsid w:val="79F16F07"/>
    <w:rsid w:val="7A0B3C7E"/>
    <w:rsid w:val="7A191243"/>
    <w:rsid w:val="7A376E6A"/>
    <w:rsid w:val="7A6D5DCF"/>
    <w:rsid w:val="7A866179"/>
    <w:rsid w:val="7A9A0A0E"/>
    <w:rsid w:val="7A9A3791"/>
    <w:rsid w:val="7AB65B5F"/>
    <w:rsid w:val="7AC62087"/>
    <w:rsid w:val="7AD33691"/>
    <w:rsid w:val="7AD63C9D"/>
    <w:rsid w:val="7AE822E7"/>
    <w:rsid w:val="7AED1D25"/>
    <w:rsid w:val="7B016DE1"/>
    <w:rsid w:val="7B1D143E"/>
    <w:rsid w:val="7B207E35"/>
    <w:rsid w:val="7B5D0076"/>
    <w:rsid w:val="7B6C6109"/>
    <w:rsid w:val="7BA05410"/>
    <w:rsid w:val="7BAF07E2"/>
    <w:rsid w:val="7C2864D5"/>
    <w:rsid w:val="7C287CAA"/>
    <w:rsid w:val="7C2C6C97"/>
    <w:rsid w:val="7C566D2D"/>
    <w:rsid w:val="7C574F8E"/>
    <w:rsid w:val="7C5E65A7"/>
    <w:rsid w:val="7C8027EE"/>
    <w:rsid w:val="7C8975E8"/>
    <w:rsid w:val="7CBC2E9B"/>
    <w:rsid w:val="7CC80A15"/>
    <w:rsid w:val="7CD4314D"/>
    <w:rsid w:val="7CF92A86"/>
    <w:rsid w:val="7D09462F"/>
    <w:rsid w:val="7D1B5FF9"/>
    <w:rsid w:val="7D232C99"/>
    <w:rsid w:val="7D3F775D"/>
    <w:rsid w:val="7D4C6D82"/>
    <w:rsid w:val="7D5059AE"/>
    <w:rsid w:val="7D5932F3"/>
    <w:rsid w:val="7D997E45"/>
    <w:rsid w:val="7DA204D4"/>
    <w:rsid w:val="7DB324DC"/>
    <w:rsid w:val="7DC05627"/>
    <w:rsid w:val="7DD6301D"/>
    <w:rsid w:val="7DFA523D"/>
    <w:rsid w:val="7E0E7BCC"/>
    <w:rsid w:val="7E123F1F"/>
    <w:rsid w:val="7E234065"/>
    <w:rsid w:val="7E2B1B26"/>
    <w:rsid w:val="7E365982"/>
    <w:rsid w:val="7E691405"/>
    <w:rsid w:val="7E726228"/>
    <w:rsid w:val="7E8510CA"/>
    <w:rsid w:val="7E872D34"/>
    <w:rsid w:val="7ECA7C48"/>
    <w:rsid w:val="7EE063BC"/>
    <w:rsid w:val="7EFC257B"/>
    <w:rsid w:val="7F021783"/>
    <w:rsid w:val="7F0E61BB"/>
    <w:rsid w:val="7F145890"/>
    <w:rsid w:val="7F384D8C"/>
    <w:rsid w:val="7F703015"/>
    <w:rsid w:val="7FA84B42"/>
    <w:rsid w:val="7FC03225"/>
    <w:rsid w:val="7FE205B2"/>
    <w:rsid w:val="7FFC6270"/>
  </w:rsids>
  <m:mathPr>
    <m:lMargin m:val="0"/>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5">
    <w:name w:val="Strong"/>
    <w:qFormat/>
    <w:uiPriority w:val="0"/>
    <w:rPr>
      <w:b/>
      <w:b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Office_10.8.0.6058_F1E327BC-269C-435d-A152-05C5408002CA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2018-07-23T07:31:00Z</dcterms:created>
  <dc:creator>贵州邓</dc:creator>
  <cp:lastModifiedBy>admin</cp:lastModifiedBy>
  <cp:lastPrinted>2020-08-28T07:27:00Z</cp:lastPrinted>
  <dcterms:modified xsi:type="dcterms:W3CDTF">2021-10-20T07:22:36Z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2052-10.8.0.6058</vt:lpwstr>
  </property>
</Properties>
</file>