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950"/>
        <w:gridCol w:w="1780"/>
      </w:tblGrid>
      <w:tr w14:paraId="72EC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4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8E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8D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A7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54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2023年省级基金会年检情况公示表</w:t>
            </w:r>
            <w:bookmarkEnd w:id="0"/>
          </w:p>
        </w:tc>
      </w:tr>
      <w:tr w14:paraId="2CF6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B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C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3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拟定结论</w:t>
            </w:r>
          </w:p>
        </w:tc>
      </w:tr>
      <w:tr w14:paraId="7120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2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贵州省宏立城公益基金会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F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  <w:tr w14:paraId="16DD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E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贵州省禁毒基金会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7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</w:tbl>
    <w:p w14:paraId="3F20BDD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NjQ4ZWZkMjcxYjFmNmZlOTYyYjBlNjFiMGQ4ZmYifQ=="/>
  </w:docVars>
  <w:rsids>
    <w:rsidRoot w:val="13D81B58"/>
    <w:rsid w:val="13D81B58"/>
    <w:rsid w:val="2C1F1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2024-07-19T09:02:00Z</dcterms:created>
  <dc:creator>奋斗的蜗牛</dc:creator>
  <cp:lastModifiedBy>奋斗的蜗牛</cp:lastModifiedBy>
  <dcterms:modified xsi:type="dcterms:W3CDTF">2024-07-19T09:03:57Z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053C4E8CE17644B08982FFCA3294603C_11</vt:lpwstr>
  </property>
</Properties>
</file>